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11" w:rsidRPr="00721D2D" w:rsidRDefault="00374311" w:rsidP="004449A2">
      <w:pPr>
        <w:spacing w:after="0"/>
        <w:rPr>
          <w:rFonts w:ascii="Times New Roman" w:hAnsi="Times New Roman"/>
        </w:rPr>
      </w:pPr>
      <w:r w:rsidRPr="00425BED">
        <w:rPr>
          <w:rFonts w:ascii="Times New Roman" w:hAnsi="Times New Roman"/>
        </w:rPr>
        <w:t xml:space="preserve">Секция №1, </w:t>
      </w:r>
      <w:proofErr w:type="gramStart"/>
      <w:r w:rsidRPr="00425BED">
        <w:rPr>
          <w:rFonts w:ascii="Times New Roman" w:hAnsi="Times New Roman"/>
        </w:rPr>
        <w:t>устный</w:t>
      </w:r>
      <w:proofErr w:type="gramEnd"/>
    </w:p>
    <w:p w:rsidR="00374311" w:rsidRPr="007F047D" w:rsidRDefault="00374311" w:rsidP="004449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047D">
        <w:rPr>
          <w:rFonts w:ascii="Times New Roman" w:hAnsi="Times New Roman"/>
          <w:sz w:val="24"/>
          <w:szCs w:val="24"/>
          <w:lang w:eastAsia="ru-RU"/>
        </w:rPr>
        <w:t>УДК 550.837</w:t>
      </w:r>
    </w:p>
    <w:p w:rsidR="00374311" w:rsidRPr="00786E67" w:rsidRDefault="00374311" w:rsidP="004A711B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jc w:val="center"/>
        <w:rPr>
          <w:rFonts w:ascii="Times New Roman" w:hAnsi="Times New Roman"/>
          <w:kern w:val="24"/>
          <w:sz w:val="22"/>
          <w:szCs w:val="22"/>
        </w:rPr>
      </w:pPr>
      <w:r w:rsidRPr="007F047D">
        <w:rPr>
          <w:rFonts w:ascii="Times New Roman" w:hAnsi="Times New Roman"/>
          <w:kern w:val="24"/>
          <w:sz w:val="22"/>
          <w:szCs w:val="22"/>
        </w:rPr>
        <w:t>О</w:t>
      </w:r>
      <w:r w:rsidR="00BC7CFF">
        <w:rPr>
          <w:rFonts w:ascii="Times New Roman" w:hAnsi="Times New Roman"/>
          <w:kern w:val="24"/>
          <w:sz w:val="22"/>
          <w:szCs w:val="22"/>
        </w:rPr>
        <w:t>ЦЕНКА</w:t>
      </w:r>
      <w:r w:rsidRPr="007F047D">
        <w:rPr>
          <w:rFonts w:ascii="Times New Roman" w:hAnsi="Times New Roman"/>
          <w:kern w:val="24"/>
          <w:sz w:val="22"/>
          <w:szCs w:val="22"/>
        </w:rPr>
        <w:t xml:space="preserve"> </w:t>
      </w:r>
      <w:r w:rsidR="00BC7CFF">
        <w:rPr>
          <w:rFonts w:ascii="Times New Roman" w:hAnsi="Times New Roman"/>
          <w:kern w:val="24"/>
          <w:sz w:val="22"/>
          <w:szCs w:val="22"/>
        </w:rPr>
        <w:t>ВОЗМОЖНОСТЕЙ</w:t>
      </w:r>
      <w:r w:rsidRPr="007F047D">
        <w:rPr>
          <w:rFonts w:ascii="Times New Roman" w:hAnsi="Times New Roman"/>
          <w:kern w:val="24"/>
          <w:sz w:val="22"/>
          <w:szCs w:val="22"/>
        </w:rPr>
        <w:t xml:space="preserve"> </w:t>
      </w:r>
      <w:r w:rsidR="00BC7CFF">
        <w:rPr>
          <w:rFonts w:ascii="Times New Roman" w:hAnsi="Times New Roman"/>
          <w:kern w:val="24"/>
          <w:sz w:val="22"/>
          <w:szCs w:val="22"/>
        </w:rPr>
        <w:t>ПРИБЛИЖЕННОГ</w:t>
      </w:r>
      <w:proofErr w:type="gramStart"/>
      <w:r w:rsidR="00BC7CFF">
        <w:rPr>
          <w:rFonts w:ascii="Times New Roman" w:hAnsi="Times New Roman"/>
          <w:kern w:val="24"/>
          <w:sz w:val="22"/>
          <w:szCs w:val="22"/>
        </w:rPr>
        <w:t>О</w:t>
      </w:r>
      <w:r>
        <w:rPr>
          <w:rFonts w:ascii="Times New Roman" w:hAnsi="Times New Roman"/>
          <w:kern w:val="24"/>
          <w:sz w:val="22"/>
          <w:szCs w:val="22"/>
        </w:rPr>
        <w:t>(</w:t>
      </w:r>
      <w:proofErr w:type="gramEnd"/>
      <w:r w:rsidR="00BC7CFF">
        <w:rPr>
          <w:rFonts w:ascii="Times New Roman" w:hAnsi="Times New Roman"/>
          <w:kern w:val="24"/>
          <w:sz w:val="22"/>
          <w:szCs w:val="22"/>
        </w:rPr>
        <w:t>БОРНОВСКОГО)</w:t>
      </w:r>
      <w:r w:rsidR="00996BAC">
        <w:rPr>
          <w:rFonts w:ascii="Times New Roman" w:hAnsi="Times New Roman"/>
          <w:kern w:val="24"/>
          <w:sz w:val="22"/>
          <w:szCs w:val="22"/>
        </w:rPr>
        <w:t xml:space="preserve"> </w:t>
      </w:r>
      <w:r w:rsidRPr="007F047D">
        <w:rPr>
          <w:rFonts w:ascii="Times New Roman" w:hAnsi="Times New Roman"/>
          <w:kern w:val="24"/>
          <w:sz w:val="22"/>
          <w:szCs w:val="22"/>
        </w:rPr>
        <w:t>3</w:t>
      </w:r>
      <w:r w:rsidRPr="007F047D">
        <w:rPr>
          <w:rFonts w:ascii="Times New Roman" w:hAnsi="Times New Roman"/>
          <w:kern w:val="24"/>
          <w:sz w:val="22"/>
          <w:szCs w:val="22"/>
          <w:lang w:val="en-US"/>
        </w:rPr>
        <w:t>D</w:t>
      </w:r>
      <w:r w:rsidR="00BC7CFF">
        <w:rPr>
          <w:rFonts w:ascii="Times New Roman" w:hAnsi="Times New Roman"/>
          <w:kern w:val="24"/>
          <w:sz w:val="22"/>
          <w:szCs w:val="22"/>
        </w:rPr>
        <w:t xml:space="preserve"> МОДЕЛИРОВАНИЯ </w:t>
      </w:r>
      <w:r w:rsidR="00BC7CFF">
        <w:rPr>
          <w:rFonts w:ascii="Times New Roman" w:hAnsi="Times New Roman"/>
          <w:sz w:val="22"/>
          <w:szCs w:val="22"/>
        </w:rPr>
        <w:t>ДЛЯ</w:t>
      </w:r>
      <w:r w:rsidRPr="007F047D">
        <w:rPr>
          <w:rFonts w:ascii="Times New Roman" w:hAnsi="Times New Roman"/>
          <w:sz w:val="22"/>
          <w:szCs w:val="22"/>
        </w:rPr>
        <w:t xml:space="preserve"> </w:t>
      </w:r>
      <w:r w:rsidR="00BC7CFF">
        <w:rPr>
          <w:rFonts w:ascii="Times New Roman" w:hAnsi="Times New Roman"/>
          <w:sz w:val="22"/>
          <w:szCs w:val="22"/>
        </w:rPr>
        <w:t>ТОМОГРАФИЧЕСКОЙ</w:t>
      </w:r>
      <w:r w:rsidRPr="007F047D">
        <w:rPr>
          <w:rFonts w:ascii="Times New Roman" w:hAnsi="Times New Roman"/>
          <w:sz w:val="22"/>
          <w:szCs w:val="22"/>
        </w:rPr>
        <w:t xml:space="preserve"> </w:t>
      </w:r>
      <w:r w:rsidR="00BC7CFF">
        <w:rPr>
          <w:rFonts w:ascii="Times New Roman" w:hAnsi="Times New Roman"/>
          <w:sz w:val="22"/>
          <w:szCs w:val="22"/>
        </w:rPr>
        <w:t>ИНВЕРСИИ</w:t>
      </w:r>
      <w:r w:rsidR="00996BAC">
        <w:rPr>
          <w:rFonts w:ascii="Times New Roman" w:hAnsi="Times New Roman"/>
          <w:sz w:val="22"/>
          <w:szCs w:val="22"/>
        </w:rPr>
        <w:t xml:space="preserve"> </w:t>
      </w:r>
      <w:r w:rsidR="00BC7CFF">
        <w:rPr>
          <w:rFonts w:ascii="Times New Roman" w:hAnsi="Times New Roman"/>
          <w:sz w:val="22"/>
          <w:szCs w:val="22"/>
        </w:rPr>
        <w:t>ДАННЫХ</w:t>
      </w:r>
      <w:r w:rsidRPr="007F047D">
        <w:rPr>
          <w:rFonts w:ascii="Times New Roman" w:hAnsi="Times New Roman"/>
          <w:sz w:val="22"/>
          <w:szCs w:val="22"/>
        </w:rPr>
        <w:t xml:space="preserve"> </w:t>
      </w:r>
      <w:r w:rsidR="00BC7CFF">
        <w:rPr>
          <w:rFonts w:ascii="Times New Roman" w:hAnsi="Times New Roman"/>
          <w:sz w:val="22"/>
          <w:szCs w:val="22"/>
        </w:rPr>
        <w:t>ЗОНДИРОВАНИЙ</w:t>
      </w:r>
      <w:r w:rsidRPr="007F047D">
        <w:rPr>
          <w:rFonts w:ascii="Times New Roman" w:hAnsi="Times New Roman"/>
          <w:sz w:val="22"/>
          <w:szCs w:val="22"/>
        </w:rPr>
        <w:t xml:space="preserve"> </w:t>
      </w:r>
      <w:r w:rsidR="00BC7CFF">
        <w:rPr>
          <w:rFonts w:ascii="Times New Roman" w:hAnsi="Times New Roman"/>
          <w:sz w:val="22"/>
          <w:szCs w:val="22"/>
        </w:rPr>
        <w:t>СТАНОВЛЕНИЕМ</w:t>
      </w:r>
    </w:p>
    <w:p w:rsidR="00374311" w:rsidRPr="005F5752" w:rsidRDefault="00374311" w:rsidP="004449A2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ind w:firstLine="567"/>
        <w:jc w:val="center"/>
        <w:rPr>
          <w:rFonts w:ascii="Times New Roman" w:hAnsi="Times New Roman"/>
          <w:kern w:val="24"/>
          <w:sz w:val="22"/>
          <w:szCs w:val="22"/>
        </w:rPr>
      </w:pPr>
    </w:p>
    <w:p w:rsidR="00374311" w:rsidRPr="00657E91" w:rsidRDefault="00374311" w:rsidP="004449A2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ind w:firstLine="567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</w:rPr>
        <w:t>Шеин А.Н</w:t>
      </w:r>
      <w:r w:rsidRPr="005F5752">
        <w:rPr>
          <w:rFonts w:ascii="Times New Roman" w:hAnsi="Times New Roman"/>
          <w:sz w:val="22"/>
          <w:szCs w:val="22"/>
        </w:rPr>
        <w:t xml:space="preserve">., </w:t>
      </w:r>
      <w:r>
        <w:rPr>
          <w:rFonts w:ascii="Times New Roman" w:hAnsi="Times New Roman"/>
          <w:sz w:val="22"/>
          <w:szCs w:val="22"/>
        </w:rPr>
        <w:t>Могилатов В.С., Антонов Е.Ю.</w:t>
      </w:r>
    </w:p>
    <w:p w:rsidR="00374311" w:rsidRPr="005F5752" w:rsidRDefault="00374311" w:rsidP="004449A2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ind w:firstLine="567"/>
        <w:jc w:val="center"/>
        <w:rPr>
          <w:rFonts w:ascii="Times New Roman" w:hAnsi="Times New Roman"/>
          <w:b w:val="0"/>
          <w:sz w:val="22"/>
          <w:szCs w:val="22"/>
        </w:rPr>
      </w:pPr>
    </w:p>
    <w:p w:rsidR="00374311" w:rsidRDefault="00374311" w:rsidP="004449A2">
      <w:pPr>
        <w:pStyle w:val="3"/>
        <w:keepNext w:val="0"/>
        <w:numPr>
          <w:ilvl w:val="2"/>
          <w:numId w:val="0"/>
        </w:numPr>
        <w:tabs>
          <w:tab w:val="num" w:pos="720"/>
        </w:tabs>
        <w:spacing w:before="0" w:after="0"/>
        <w:ind w:firstLine="567"/>
        <w:jc w:val="center"/>
        <w:rPr>
          <w:rFonts w:ascii="Times New Roman" w:hAnsi="Times New Roman"/>
          <w:b w:val="0"/>
          <w:sz w:val="22"/>
          <w:szCs w:val="22"/>
        </w:rPr>
      </w:pPr>
      <w:r w:rsidRPr="00657E91">
        <w:rPr>
          <w:rFonts w:ascii="Times New Roman" w:hAnsi="Times New Roman"/>
          <w:b w:val="0"/>
          <w:sz w:val="22"/>
          <w:szCs w:val="22"/>
        </w:rPr>
        <w:t>Институт нефтегазовой геологии и геофизики СО РАН, 630090, г. Новосибирск</w:t>
      </w:r>
    </w:p>
    <w:p w:rsidR="00374311" w:rsidRPr="0003075B" w:rsidRDefault="00374311" w:rsidP="00D768E1">
      <w:pPr>
        <w:spacing w:after="0" w:line="240" w:lineRule="auto"/>
        <w:rPr>
          <w:rFonts w:ascii="Times New Roman" w:hAnsi="Times New Roman"/>
        </w:rPr>
      </w:pPr>
    </w:p>
    <w:p w:rsidR="00374311" w:rsidRPr="00C7346F" w:rsidRDefault="00374311" w:rsidP="007F047D">
      <w:pPr>
        <w:pStyle w:val="Default"/>
        <w:jc w:val="both"/>
        <w:rPr>
          <w:color w:val="auto"/>
          <w:sz w:val="22"/>
          <w:szCs w:val="22"/>
        </w:rPr>
      </w:pPr>
      <w:r w:rsidRPr="00C7346F">
        <w:rPr>
          <w:color w:val="auto"/>
          <w:sz w:val="22"/>
          <w:szCs w:val="22"/>
        </w:rPr>
        <w:t xml:space="preserve">В работе </w:t>
      </w:r>
      <w:r>
        <w:rPr>
          <w:color w:val="auto"/>
          <w:sz w:val="22"/>
          <w:szCs w:val="22"/>
        </w:rPr>
        <w:t>рассматривается</w:t>
      </w:r>
      <w:r w:rsidRPr="00C7346F">
        <w:rPr>
          <w:color w:val="auto"/>
          <w:sz w:val="22"/>
          <w:szCs w:val="22"/>
        </w:rPr>
        <w:t xml:space="preserve"> алгоритм </w:t>
      </w:r>
      <w:r>
        <w:rPr>
          <w:color w:val="auto"/>
          <w:sz w:val="22"/>
          <w:szCs w:val="22"/>
        </w:rPr>
        <w:t xml:space="preserve">приближённых </w:t>
      </w:r>
      <w:r w:rsidRPr="00C7346F">
        <w:rPr>
          <w:color w:val="auto"/>
          <w:sz w:val="22"/>
          <w:szCs w:val="22"/>
        </w:rPr>
        <w:t>расчёт</w:t>
      </w:r>
      <w:r>
        <w:rPr>
          <w:color w:val="auto"/>
          <w:sz w:val="22"/>
          <w:szCs w:val="22"/>
        </w:rPr>
        <w:t>ов</w:t>
      </w:r>
      <w:r w:rsidRPr="00C7346F">
        <w:rPr>
          <w:color w:val="auto"/>
          <w:sz w:val="22"/>
          <w:szCs w:val="22"/>
        </w:rPr>
        <w:t xml:space="preserve"> нестационарного электромагнитного поля, основанный </w:t>
      </w:r>
      <w:r w:rsidRPr="00C7346F">
        <w:rPr>
          <w:sz w:val="22"/>
          <w:szCs w:val="22"/>
        </w:rPr>
        <w:t xml:space="preserve">на </w:t>
      </w:r>
      <w:r>
        <w:rPr>
          <w:sz w:val="22"/>
          <w:szCs w:val="22"/>
        </w:rPr>
        <w:t>теории возмущений</w:t>
      </w:r>
      <w:r w:rsidRPr="00C7346F">
        <w:rPr>
          <w:sz w:val="22"/>
          <w:szCs w:val="22"/>
        </w:rPr>
        <w:t xml:space="preserve">. </w:t>
      </w:r>
      <w:r w:rsidRPr="00C7346F">
        <w:rPr>
          <w:color w:val="auto"/>
          <w:sz w:val="22"/>
          <w:szCs w:val="22"/>
        </w:rPr>
        <w:t>Сравнение расч</w:t>
      </w:r>
      <w:r>
        <w:rPr>
          <w:color w:val="auto"/>
          <w:sz w:val="22"/>
          <w:szCs w:val="22"/>
        </w:rPr>
        <w:t>ё</w:t>
      </w:r>
      <w:r w:rsidRPr="00C7346F">
        <w:rPr>
          <w:color w:val="auto"/>
          <w:sz w:val="22"/>
          <w:szCs w:val="22"/>
        </w:rPr>
        <w:t>т</w:t>
      </w:r>
      <w:r>
        <w:rPr>
          <w:color w:val="auto"/>
          <w:sz w:val="22"/>
          <w:szCs w:val="22"/>
        </w:rPr>
        <w:t>ов по</w:t>
      </w:r>
      <w:r w:rsidRPr="00C7346F">
        <w:rPr>
          <w:color w:val="auto"/>
          <w:sz w:val="22"/>
          <w:szCs w:val="22"/>
        </w:rPr>
        <w:t xml:space="preserve"> программ</w:t>
      </w:r>
      <w:r>
        <w:rPr>
          <w:color w:val="auto"/>
          <w:sz w:val="22"/>
          <w:szCs w:val="22"/>
        </w:rPr>
        <w:t>е</w:t>
      </w:r>
      <w:r w:rsidRPr="00C7346F">
        <w:rPr>
          <w:color w:val="auto"/>
          <w:sz w:val="22"/>
          <w:szCs w:val="22"/>
        </w:rPr>
        <w:t xml:space="preserve"> </w:t>
      </w:r>
      <w:r w:rsidRPr="00C7346F">
        <w:rPr>
          <w:color w:val="auto"/>
          <w:sz w:val="22"/>
          <w:szCs w:val="22"/>
          <w:lang w:val="en-US"/>
        </w:rPr>
        <w:t>MAG</w:t>
      </w:r>
      <w:r w:rsidRPr="00C7346F">
        <w:rPr>
          <w:color w:val="auto"/>
          <w:sz w:val="22"/>
          <w:szCs w:val="22"/>
        </w:rPr>
        <w:t>3</w:t>
      </w:r>
      <w:r w:rsidRPr="00C7346F">
        <w:rPr>
          <w:color w:val="auto"/>
          <w:sz w:val="22"/>
          <w:szCs w:val="22"/>
          <w:lang w:val="en-US"/>
        </w:rPr>
        <w:t>D</w:t>
      </w:r>
      <w:r w:rsidRPr="00C7346F">
        <w:rPr>
          <w:color w:val="auto"/>
          <w:sz w:val="22"/>
          <w:szCs w:val="22"/>
        </w:rPr>
        <w:t xml:space="preserve"> с точными тр</w:t>
      </w:r>
      <w:r>
        <w:rPr>
          <w:color w:val="auto"/>
          <w:sz w:val="22"/>
          <w:szCs w:val="22"/>
        </w:rPr>
        <w:t>ё</w:t>
      </w:r>
      <w:r w:rsidRPr="00C7346F">
        <w:rPr>
          <w:color w:val="auto"/>
          <w:sz w:val="22"/>
          <w:szCs w:val="22"/>
        </w:rPr>
        <w:t>хмерными расч</w:t>
      </w:r>
      <w:r>
        <w:rPr>
          <w:color w:val="auto"/>
          <w:sz w:val="22"/>
          <w:szCs w:val="22"/>
        </w:rPr>
        <w:t>ё</w:t>
      </w:r>
      <w:r w:rsidRPr="00C7346F">
        <w:rPr>
          <w:color w:val="auto"/>
          <w:sz w:val="22"/>
          <w:szCs w:val="22"/>
        </w:rPr>
        <w:t>тами методом конечных элементов</w:t>
      </w:r>
      <w:r>
        <w:rPr>
          <w:color w:val="auto"/>
          <w:sz w:val="22"/>
          <w:szCs w:val="22"/>
        </w:rPr>
        <w:t xml:space="preserve"> (программа </w:t>
      </w:r>
      <w:r>
        <w:rPr>
          <w:color w:val="auto"/>
          <w:sz w:val="22"/>
          <w:szCs w:val="22"/>
          <w:lang w:val="en-US"/>
        </w:rPr>
        <w:t>Modem</w:t>
      </w:r>
      <w:r w:rsidRPr="00A360F2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  <w:lang w:val="en-US"/>
        </w:rPr>
        <w:t>D</w:t>
      </w:r>
      <w:r w:rsidRPr="00A360F2">
        <w:rPr>
          <w:color w:val="auto"/>
          <w:sz w:val="22"/>
          <w:szCs w:val="22"/>
        </w:rPr>
        <w:t>)</w:t>
      </w:r>
      <w:r w:rsidRPr="00C7346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выполняется для контроля</w:t>
      </w:r>
      <w:r w:rsidRPr="00C7346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качества решения обратной трёхмерной задачи на основе</w:t>
      </w:r>
      <w:r w:rsidRPr="00C7346F"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б</w:t>
      </w:r>
      <w:r w:rsidRPr="00C7346F">
        <w:rPr>
          <w:color w:val="auto"/>
          <w:sz w:val="22"/>
          <w:szCs w:val="22"/>
        </w:rPr>
        <w:t>орновского</w:t>
      </w:r>
      <w:proofErr w:type="spellEnd"/>
      <w:r w:rsidRPr="00C7346F">
        <w:rPr>
          <w:color w:val="auto"/>
          <w:sz w:val="22"/>
          <w:szCs w:val="22"/>
        </w:rPr>
        <w:t xml:space="preserve"> приближения </w:t>
      </w:r>
      <w:r>
        <w:rPr>
          <w:color w:val="auto"/>
          <w:sz w:val="22"/>
          <w:szCs w:val="22"/>
        </w:rPr>
        <w:t xml:space="preserve">(линейной </w:t>
      </w:r>
      <w:proofErr w:type="spellStart"/>
      <w:r w:rsidRPr="00C7346F">
        <w:rPr>
          <w:color w:val="auto"/>
          <w:sz w:val="22"/>
          <w:szCs w:val="22"/>
        </w:rPr>
        <w:t>томографической</w:t>
      </w:r>
      <w:proofErr w:type="spellEnd"/>
      <w:r w:rsidRPr="00C7346F">
        <w:rPr>
          <w:color w:val="auto"/>
          <w:sz w:val="22"/>
          <w:szCs w:val="22"/>
        </w:rPr>
        <w:t xml:space="preserve"> инверсии</w:t>
      </w:r>
      <w:r>
        <w:rPr>
          <w:color w:val="auto"/>
          <w:sz w:val="22"/>
          <w:szCs w:val="22"/>
        </w:rPr>
        <w:t>)</w:t>
      </w:r>
      <w:r w:rsidRPr="00C7346F">
        <w:rPr>
          <w:color w:val="auto"/>
          <w:sz w:val="22"/>
          <w:szCs w:val="22"/>
        </w:rPr>
        <w:t>.</w:t>
      </w:r>
    </w:p>
    <w:p w:rsidR="00374311" w:rsidRPr="00C7346F" w:rsidRDefault="00374311" w:rsidP="00CA7AC4">
      <w:pPr>
        <w:pStyle w:val="Default"/>
        <w:jc w:val="both"/>
        <w:rPr>
          <w:sz w:val="22"/>
          <w:szCs w:val="22"/>
        </w:rPr>
      </w:pPr>
      <w:r w:rsidRPr="00C7346F">
        <w:rPr>
          <w:i/>
          <w:sz w:val="22"/>
          <w:szCs w:val="22"/>
        </w:rPr>
        <w:t>Ключевые слова:</w:t>
      </w:r>
      <w:r w:rsidRPr="00C7346F">
        <w:rPr>
          <w:sz w:val="22"/>
          <w:szCs w:val="22"/>
        </w:rPr>
        <w:t xml:space="preserve"> математическое моделирование, зондирование становлением поля, </w:t>
      </w:r>
      <w:proofErr w:type="spellStart"/>
      <w:r w:rsidRPr="00C7346F">
        <w:rPr>
          <w:sz w:val="22"/>
          <w:szCs w:val="22"/>
        </w:rPr>
        <w:t>томографическая</w:t>
      </w:r>
      <w:proofErr w:type="spellEnd"/>
      <w:r w:rsidRPr="00C7346F">
        <w:rPr>
          <w:sz w:val="22"/>
          <w:szCs w:val="22"/>
        </w:rPr>
        <w:t xml:space="preserve"> инверсия</w:t>
      </w:r>
    </w:p>
    <w:p w:rsidR="00374311" w:rsidRPr="0003075B" w:rsidRDefault="00374311" w:rsidP="00153F42">
      <w:pPr>
        <w:pStyle w:val="Default"/>
        <w:jc w:val="both"/>
        <w:rPr>
          <w:sz w:val="22"/>
          <w:szCs w:val="22"/>
        </w:rPr>
      </w:pPr>
    </w:p>
    <w:p w:rsidR="00374311" w:rsidRPr="001743AE" w:rsidRDefault="00374311" w:rsidP="00EF3719">
      <w:pPr>
        <w:pStyle w:val="Default"/>
        <w:ind w:firstLine="567"/>
        <w:jc w:val="both"/>
        <w:rPr>
          <w:sz w:val="22"/>
          <w:szCs w:val="22"/>
        </w:rPr>
      </w:pPr>
      <w:r w:rsidRPr="00E83DDA">
        <w:rPr>
          <w:sz w:val="22"/>
          <w:szCs w:val="22"/>
        </w:rPr>
        <w:t xml:space="preserve">В настоящее время решение </w:t>
      </w:r>
      <w:r>
        <w:rPr>
          <w:sz w:val="22"/>
          <w:szCs w:val="22"/>
        </w:rPr>
        <w:t>многих</w:t>
      </w:r>
      <w:r w:rsidRPr="00E83DDA">
        <w:rPr>
          <w:sz w:val="22"/>
          <w:szCs w:val="22"/>
        </w:rPr>
        <w:t xml:space="preserve"> геологических </w:t>
      </w:r>
      <w:r>
        <w:rPr>
          <w:sz w:val="22"/>
          <w:szCs w:val="22"/>
        </w:rPr>
        <w:t>задач</w:t>
      </w:r>
      <w:r w:rsidRPr="00E83DDA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обеспечивается</w:t>
      </w:r>
      <w:r w:rsidRPr="00E83DDA">
        <w:rPr>
          <w:sz w:val="22"/>
          <w:szCs w:val="22"/>
        </w:rPr>
        <w:t xml:space="preserve"> использованием геофизики. Среди большого количества геофизических методов одну из ведущих ролей играют электромагнитные, из которых </w:t>
      </w:r>
      <w:r>
        <w:rPr>
          <w:sz w:val="22"/>
          <w:szCs w:val="22"/>
        </w:rPr>
        <w:t>очень част</w:t>
      </w:r>
      <w:r w:rsidRPr="00E83DDA">
        <w:rPr>
          <w:sz w:val="22"/>
          <w:szCs w:val="22"/>
        </w:rPr>
        <w:t xml:space="preserve">о востребованы </w:t>
      </w:r>
      <w:r>
        <w:rPr>
          <w:sz w:val="22"/>
          <w:szCs w:val="22"/>
        </w:rPr>
        <w:t>импульс</w:t>
      </w:r>
      <w:r w:rsidRPr="00E83DDA">
        <w:rPr>
          <w:sz w:val="22"/>
          <w:szCs w:val="22"/>
        </w:rPr>
        <w:t>ные</w:t>
      </w:r>
      <w:r>
        <w:rPr>
          <w:sz w:val="22"/>
          <w:szCs w:val="22"/>
        </w:rPr>
        <w:t xml:space="preserve"> индукционные </w:t>
      </w:r>
      <w:r w:rsidRPr="00E83DDA">
        <w:rPr>
          <w:sz w:val="22"/>
          <w:szCs w:val="22"/>
        </w:rPr>
        <w:t xml:space="preserve">электромагнитные зондирования, основанные на измерении </w:t>
      </w:r>
      <w:r>
        <w:rPr>
          <w:sz w:val="22"/>
          <w:szCs w:val="22"/>
        </w:rPr>
        <w:t>устанавливающихся</w:t>
      </w:r>
      <w:r w:rsidRPr="00E83DDA">
        <w:rPr>
          <w:sz w:val="22"/>
          <w:szCs w:val="22"/>
        </w:rPr>
        <w:t xml:space="preserve"> электромагнитных полей в проводящих геологических средах</w:t>
      </w:r>
      <w:r>
        <w:rPr>
          <w:sz w:val="22"/>
          <w:szCs w:val="22"/>
        </w:rPr>
        <w:t xml:space="preserve"> (зонд</w:t>
      </w:r>
      <w:r w:rsidR="009C30FE">
        <w:rPr>
          <w:sz w:val="22"/>
          <w:szCs w:val="22"/>
        </w:rPr>
        <w:t>ирование становлением поля - ЗС</w:t>
      </w:r>
      <w:r>
        <w:rPr>
          <w:sz w:val="22"/>
          <w:szCs w:val="22"/>
        </w:rPr>
        <w:t>)</w:t>
      </w:r>
      <w:r w:rsidRPr="00E83DDA">
        <w:rPr>
          <w:sz w:val="22"/>
          <w:szCs w:val="22"/>
        </w:rPr>
        <w:t xml:space="preserve">. </w:t>
      </w:r>
      <w:r>
        <w:rPr>
          <w:sz w:val="22"/>
          <w:szCs w:val="22"/>
        </w:rPr>
        <w:t>Интерпретация данных зондирований, как правило, производится в рамках горизонтально-слоистой модели геологической среды, так как более всего развит именно такой математический аппарат.</w:t>
      </w:r>
      <w:r w:rsidRPr="00E83D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Переход к трёхмерной инверсии данных осложняется тем, что даже прямое моделирование электромагнитных полей в </w:t>
      </w:r>
      <w:proofErr w:type="spellStart"/>
      <w:r>
        <w:rPr>
          <w:sz w:val="22"/>
          <w:szCs w:val="22"/>
        </w:rPr>
        <w:t>сложнопостроенных</w:t>
      </w:r>
      <w:proofErr w:type="spellEnd"/>
      <w:r>
        <w:rPr>
          <w:sz w:val="22"/>
          <w:szCs w:val="22"/>
        </w:rPr>
        <w:t xml:space="preserve"> средах остаётся задачей, требующей больших временных и вычислительных ресурсов. В этой связи, с одной стороны, актуальна разработка </w:t>
      </w:r>
      <w:r w:rsidRPr="00C203D4">
        <w:rPr>
          <w:sz w:val="22"/>
          <w:szCs w:val="22"/>
        </w:rPr>
        <w:t xml:space="preserve">эффективного математического (алгоритмического и программного) инструментария для расчёта электромагнитных полей, создаваемых контролируемыми источниками в трёхмерных проводящих и поляризующихся геологических средах. </w:t>
      </w:r>
      <w:r>
        <w:rPr>
          <w:sz w:val="22"/>
          <w:szCs w:val="22"/>
        </w:rPr>
        <w:t>С другой стороны,</w:t>
      </w:r>
      <w:r w:rsidRPr="00C203D4"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потребность в решении обратных задач в </w:t>
      </w:r>
      <w:proofErr w:type="spellStart"/>
      <w:r>
        <w:rPr>
          <w:color w:val="auto"/>
          <w:sz w:val="22"/>
          <w:szCs w:val="22"/>
        </w:rPr>
        <w:t>сложнопостроенных</w:t>
      </w:r>
      <w:proofErr w:type="spellEnd"/>
      <w:r>
        <w:rPr>
          <w:color w:val="auto"/>
          <w:sz w:val="22"/>
          <w:szCs w:val="22"/>
        </w:rPr>
        <w:t xml:space="preserve"> средах, подталкивает к использованию приближённых методов, например с помощью</w:t>
      </w:r>
      <w:r w:rsidRPr="00CD774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линейной </w:t>
      </w:r>
      <w:proofErr w:type="spellStart"/>
      <w:r w:rsidRPr="00CD7741">
        <w:rPr>
          <w:color w:val="auto"/>
          <w:sz w:val="22"/>
          <w:szCs w:val="22"/>
        </w:rPr>
        <w:t>томографическ</w:t>
      </w:r>
      <w:r>
        <w:rPr>
          <w:color w:val="auto"/>
          <w:sz w:val="22"/>
          <w:szCs w:val="22"/>
        </w:rPr>
        <w:t>ой</w:t>
      </w:r>
      <w:proofErr w:type="spellEnd"/>
      <w:r>
        <w:rPr>
          <w:color w:val="auto"/>
          <w:sz w:val="22"/>
          <w:szCs w:val="22"/>
        </w:rPr>
        <w:t xml:space="preserve"> инверсии данных ЗСБ </w:t>
      </w:r>
      <w:r w:rsidRPr="00CD7741">
        <w:rPr>
          <w:color w:val="auto"/>
          <w:sz w:val="22"/>
          <w:szCs w:val="22"/>
        </w:rPr>
        <w:t>в рамках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б</w:t>
      </w:r>
      <w:r w:rsidRPr="00CD7741">
        <w:rPr>
          <w:color w:val="auto"/>
          <w:sz w:val="22"/>
          <w:szCs w:val="22"/>
        </w:rPr>
        <w:t>орновского</w:t>
      </w:r>
      <w:proofErr w:type="spellEnd"/>
      <w:r w:rsidRPr="00CD7741">
        <w:rPr>
          <w:color w:val="auto"/>
          <w:sz w:val="22"/>
          <w:szCs w:val="22"/>
        </w:rPr>
        <w:t xml:space="preserve"> приближения.</w:t>
      </w:r>
    </w:p>
    <w:p w:rsidR="00374311" w:rsidRDefault="00374311" w:rsidP="00EF3719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Одной из основных задач </w:t>
      </w:r>
      <w:r w:rsidRPr="00CD7741">
        <w:rPr>
          <w:color w:val="auto"/>
          <w:sz w:val="22"/>
          <w:szCs w:val="22"/>
        </w:rPr>
        <w:t>работы явля</w:t>
      </w:r>
      <w:r>
        <w:rPr>
          <w:color w:val="auto"/>
          <w:sz w:val="22"/>
          <w:szCs w:val="22"/>
        </w:rPr>
        <w:t>лось</w:t>
      </w:r>
      <w:r w:rsidRPr="00CD774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внешнее </w:t>
      </w:r>
      <w:r w:rsidRPr="00CD7741">
        <w:rPr>
          <w:color w:val="auto"/>
          <w:sz w:val="22"/>
          <w:szCs w:val="22"/>
        </w:rPr>
        <w:t xml:space="preserve">тестирование программы </w:t>
      </w:r>
      <w:r>
        <w:rPr>
          <w:color w:val="auto"/>
          <w:sz w:val="22"/>
          <w:szCs w:val="22"/>
        </w:rPr>
        <w:t xml:space="preserve">для </w:t>
      </w:r>
      <w:r w:rsidRPr="00CD7741">
        <w:rPr>
          <w:color w:val="auto"/>
          <w:sz w:val="22"/>
          <w:szCs w:val="22"/>
        </w:rPr>
        <w:t>расч</w:t>
      </w:r>
      <w:r>
        <w:rPr>
          <w:color w:val="auto"/>
          <w:sz w:val="22"/>
          <w:szCs w:val="22"/>
        </w:rPr>
        <w:t>ёта</w:t>
      </w:r>
      <w:r w:rsidRPr="00CD7741">
        <w:rPr>
          <w:color w:val="auto"/>
          <w:sz w:val="22"/>
          <w:szCs w:val="22"/>
        </w:rPr>
        <w:t xml:space="preserve"> переходны</w:t>
      </w:r>
      <w:r>
        <w:rPr>
          <w:color w:val="auto"/>
          <w:sz w:val="22"/>
          <w:szCs w:val="22"/>
        </w:rPr>
        <w:t>х</w:t>
      </w:r>
      <w:r w:rsidRPr="00CD7741">
        <w:rPr>
          <w:color w:val="auto"/>
          <w:sz w:val="22"/>
          <w:szCs w:val="22"/>
        </w:rPr>
        <w:t xml:space="preserve"> характеристик, использу</w:t>
      </w:r>
      <w:r>
        <w:rPr>
          <w:color w:val="auto"/>
          <w:sz w:val="22"/>
          <w:szCs w:val="22"/>
        </w:rPr>
        <w:t>ющей</w:t>
      </w:r>
      <w:r w:rsidRPr="00CD7741">
        <w:rPr>
          <w:color w:val="auto"/>
          <w:sz w:val="22"/>
          <w:szCs w:val="22"/>
        </w:rPr>
        <w:t xml:space="preserve"> </w:t>
      </w:r>
      <w:proofErr w:type="spellStart"/>
      <w:r w:rsidRPr="00CD7741">
        <w:rPr>
          <w:color w:val="auto"/>
          <w:sz w:val="22"/>
          <w:szCs w:val="22"/>
        </w:rPr>
        <w:t>борновское</w:t>
      </w:r>
      <w:proofErr w:type="spellEnd"/>
      <w:r w:rsidRPr="00CD7741">
        <w:rPr>
          <w:color w:val="auto"/>
          <w:sz w:val="22"/>
          <w:szCs w:val="22"/>
        </w:rPr>
        <w:t xml:space="preserve"> приближение</w:t>
      </w:r>
      <w:r>
        <w:rPr>
          <w:color w:val="auto"/>
          <w:sz w:val="22"/>
          <w:szCs w:val="22"/>
        </w:rPr>
        <w:t xml:space="preserve"> - </w:t>
      </w:r>
      <w:r w:rsidRPr="00CD7741">
        <w:rPr>
          <w:color w:val="auto"/>
          <w:sz w:val="22"/>
          <w:szCs w:val="22"/>
          <w:lang w:val="en-US"/>
        </w:rPr>
        <w:t>MAG</w:t>
      </w:r>
      <w:r w:rsidRPr="00CD7741">
        <w:rPr>
          <w:color w:val="auto"/>
          <w:sz w:val="22"/>
          <w:szCs w:val="22"/>
        </w:rPr>
        <w:t>3</w:t>
      </w:r>
      <w:r w:rsidRPr="00CD7741">
        <w:rPr>
          <w:color w:val="auto"/>
          <w:sz w:val="22"/>
          <w:szCs w:val="22"/>
          <w:lang w:val="en-US"/>
        </w:rPr>
        <w:t>D</w:t>
      </w:r>
      <w:r>
        <w:rPr>
          <w:color w:val="auto"/>
          <w:sz w:val="22"/>
          <w:szCs w:val="22"/>
        </w:rPr>
        <w:t xml:space="preserve"> (автор В.С. Могилатов)</w:t>
      </w:r>
      <w:r w:rsidRPr="00CD7741">
        <w:rPr>
          <w:color w:val="auto"/>
          <w:sz w:val="22"/>
          <w:szCs w:val="22"/>
        </w:rPr>
        <w:t xml:space="preserve">. Тестирование </w:t>
      </w:r>
      <w:r w:rsidRPr="00CD7741">
        <w:rPr>
          <w:color w:val="auto"/>
          <w:sz w:val="22"/>
          <w:szCs w:val="22"/>
          <w:lang w:val="en-US"/>
        </w:rPr>
        <w:t>MAG</w:t>
      </w:r>
      <w:r w:rsidRPr="00CD7741">
        <w:rPr>
          <w:color w:val="auto"/>
          <w:sz w:val="22"/>
          <w:szCs w:val="22"/>
        </w:rPr>
        <w:t>3</w:t>
      </w:r>
      <w:r w:rsidRPr="00CD7741">
        <w:rPr>
          <w:color w:val="auto"/>
          <w:sz w:val="22"/>
          <w:szCs w:val="22"/>
          <w:lang w:val="en-US"/>
        </w:rPr>
        <w:t>D</w:t>
      </w:r>
      <w:r>
        <w:rPr>
          <w:color w:val="auto"/>
          <w:sz w:val="22"/>
          <w:szCs w:val="22"/>
        </w:rPr>
        <w:t xml:space="preserve"> выполнялось</w:t>
      </w:r>
      <w:r w:rsidRPr="00CD7741">
        <w:rPr>
          <w:color w:val="auto"/>
          <w:sz w:val="22"/>
          <w:szCs w:val="22"/>
        </w:rPr>
        <w:t xml:space="preserve"> сравнение</w:t>
      </w:r>
      <w:r>
        <w:rPr>
          <w:color w:val="auto"/>
          <w:sz w:val="22"/>
          <w:szCs w:val="22"/>
        </w:rPr>
        <w:t>м</w:t>
      </w:r>
      <w:r w:rsidRPr="00CD7741">
        <w:rPr>
          <w:color w:val="auto"/>
          <w:sz w:val="22"/>
          <w:szCs w:val="22"/>
        </w:rPr>
        <w:t xml:space="preserve"> с точными тр</w:t>
      </w:r>
      <w:r>
        <w:rPr>
          <w:color w:val="auto"/>
          <w:sz w:val="22"/>
          <w:szCs w:val="22"/>
        </w:rPr>
        <w:t>ё</w:t>
      </w:r>
      <w:r w:rsidRPr="00CD7741">
        <w:rPr>
          <w:color w:val="auto"/>
          <w:sz w:val="22"/>
          <w:szCs w:val="22"/>
        </w:rPr>
        <w:t>хмерными расч</w:t>
      </w:r>
      <w:r>
        <w:rPr>
          <w:color w:val="auto"/>
          <w:sz w:val="22"/>
          <w:szCs w:val="22"/>
        </w:rPr>
        <w:t>ё</w:t>
      </w:r>
      <w:r w:rsidRPr="00CD7741">
        <w:rPr>
          <w:color w:val="auto"/>
          <w:sz w:val="22"/>
          <w:szCs w:val="22"/>
        </w:rPr>
        <w:t xml:space="preserve">тами методом конечных элементов (программа </w:t>
      </w:r>
      <w:r w:rsidRPr="00CD7741">
        <w:rPr>
          <w:color w:val="auto"/>
          <w:sz w:val="22"/>
          <w:szCs w:val="22"/>
          <w:lang w:val="en-US"/>
        </w:rPr>
        <w:t>Modem</w:t>
      </w:r>
      <w:r w:rsidRPr="00CD7741">
        <w:rPr>
          <w:color w:val="auto"/>
          <w:sz w:val="22"/>
          <w:szCs w:val="22"/>
        </w:rPr>
        <w:t>3</w:t>
      </w:r>
      <w:r w:rsidRPr="00CD7741">
        <w:rPr>
          <w:color w:val="auto"/>
          <w:sz w:val="22"/>
          <w:szCs w:val="22"/>
          <w:lang w:val="en-US"/>
        </w:rPr>
        <w:t>D</w:t>
      </w:r>
      <w:r w:rsidRPr="00CD7741">
        <w:rPr>
          <w:color w:val="auto"/>
          <w:sz w:val="22"/>
          <w:szCs w:val="22"/>
        </w:rPr>
        <w:t xml:space="preserve">, авторы </w:t>
      </w:r>
      <w:r w:rsidRPr="00CD7741">
        <w:rPr>
          <w:sz w:val="22"/>
          <w:szCs w:val="22"/>
          <w:lang w:eastAsia="ru-RU"/>
        </w:rPr>
        <w:t>Кремер И.А, Иванов М.И.</w:t>
      </w:r>
      <w:r w:rsidRPr="00CD7741">
        <w:rPr>
          <w:color w:val="auto"/>
          <w:sz w:val="22"/>
          <w:szCs w:val="22"/>
        </w:rPr>
        <w:t>).</w:t>
      </w:r>
      <w:r>
        <w:rPr>
          <w:color w:val="auto"/>
          <w:sz w:val="22"/>
          <w:szCs w:val="22"/>
        </w:rPr>
        <w:t xml:space="preserve"> Такое сопоставление результатов моделирования позволило определить ограничения </w:t>
      </w:r>
      <w:proofErr w:type="spellStart"/>
      <w:r>
        <w:rPr>
          <w:color w:val="auto"/>
          <w:sz w:val="22"/>
          <w:szCs w:val="22"/>
        </w:rPr>
        <w:t>борновского</w:t>
      </w:r>
      <w:proofErr w:type="spellEnd"/>
      <w:r>
        <w:rPr>
          <w:color w:val="auto"/>
          <w:sz w:val="22"/>
          <w:szCs w:val="22"/>
        </w:rPr>
        <w:t xml:space="preserve"> приближения и послужит предпосылкой для использования расчётной программы </w:t>
      </w:r>
      <w:r>
        <w:rPr>
          <w:color w:val="auto"/>
          <w:sz w:val="22"/>
          <w:szCs w:val="22"/>
          <w:lang w:val="en-US"/>
        </w:rPr>
        <w:t>MAG</w:t>
      </w:r>
      <w:r w:rsidRPr="00CD7741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  <w:lang w:val="en-US"/>
        </w:rPr>
        <w:t>D</w:t>
      </w:r>
      <w:r>
        <w:rPr>
          <w:color w:val="auto"/>
          <w:sz w:val="22"/>
          <w:szCs w:val="22"/>
        </w:rPr>
        <w:t xml:space="preserve"> в </w:t>
      </w:r>
      <w:proofErr w:type="spellStart"/>
      <w:r>
        <w:rPr>
          <w:color w:val="auto"/>
          <w:sz w:val="22"/>
          <w:szCs w:val="22"/>
        </w:rPr>
        <w:t>томографической</w:t>
      </w:r>
      <w:proofErr w:type="spellEnd"/>
      <w:r>
        <w:rPr>
          <w:color w:val="auto"/>
          <w:sz w:val="22"/>
          <w:szCs w:val="22"/>
        </w:rPr>
        <w:t xml:space="preserve"> инверсии.</w:t>
      </w:r>
    </w:p>
    <w:p w:rsidR="00374311" w:rsidRDefault="00374311" w:rsidP="00EF3719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Для краткого описания </w:t>
      </w:r>
      <w:r w:rsidRPr="001937C8">
        <w:rPr>
          <w:color w:val="auto"/>
          <w:sz w:val="22"/>
          <w:szCs w:val="22"/>
        </w:rPr>
        <w:t xml:space="preserve">алгоритма </w:t>
      </w:r>
      <w:proofErr w:type="spellStart"/>
      <w:r>
        <w:rPr>
          <w:color w:val="auto"/>
          <w:sz w:val="22"/>
          <w:szCs w:val="22"/>
        </w:rPr>
        <w:t>б</w:t>
      </w:r>
      <w:r w:rsidRPr="001937C8">
        <w:rPr>
          <w:color w:val="auto"/>
          <w:sz w:val="22"/>
          <w:szCs w:val="22"/>
        </w:rPr>
        <w:t>орновского</w:t>
      </w:r>
      <w:proofErr w:type="spellEnd"/>
      <w:r w:rsidRPr="001937C8">
        <w:rPr>
          <w:color w:val="auto"/>
          <w:sz w:val="22"/>
          <w:szCs w:val="22"/>
        </w:rPr>
        <w:t xml:space="preserve"> приближения введем понятие базовой</w:t>
      </w:r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референтной</w:t>
      </w:r>
      <w:proofErr w:type="spellEnd"/>
      <w:r>
        <w:rPr>
          <w:color w:val="auto"/>
          <w:sz w:val="22"/>
          <w:szCs w:val="22"/>
        </w:rPr>
        <w:t>, нормальной)</w:t>
      </w:r>
      <w:r w:rsidRPr="001937C8">
        <w:rPr>
          <w:color w:val="auto"/>
          <w:sz w:val="22"/>
          <w:szCs w:val="22"/>
        </w:rPr>
        <w:t xml:space="preserve"> модели среды.</w:t>
      </w:r>
      <w:r>
        <w:rPr>
          <w:color w:val="auto"/>
          <w:sz w:val="22"/>
          <w:szCs w:val="22"/>
        </w:rPr>
        <w:t xml:space="preserve"> В нашем случае – это горизонтально-слоистая среда.</w:t>
      </w:r>
      <w:r w:rsidRPr="001937C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П</w:t>
      </w:r>
      <w:r w:rsidRPr="001937C8">
        <w:rPr>
          <w:color w:val="auto"/>
          <w:sz w:val="22"/>
          <w:szCs w:val="22"/>
        </w:rPr>
        <w:t>одразумевае</w:t>
      </w:r>
      <w:r>
        <w:rPr>
          <w:color w:val="auto"/>
          <w:sz w:val="22"/>
          <w:szCs w:val="22"/>
        </w:rPr>
        <w:t>м</w:t>
      </w:r>
      <w:r w:rsidRPr="001937C8">
        <w:rPr>
          <w:color w:val="auto"/>
          <w:sz w:val="22"/>
          <w:szCs w:val="22"/>
        </w:rPr>
        <w:t xml:space="preserve"> квазистационарный, чисто электродинамический процесс</w:t>
      </w:r>
      <w:r>
        <w:rPr>
          <w:color w:val="auto"/>
          <w:sz w:val="22"/>
          <w:szCs w:val="22"/>
        </w:rPr>
        <w:t xml:space="preserve"> становления в этой базовой модели</w:t>
      </w:r>
      <w:r w:rsidRPr="001937C8">
        <w:rPr>
          <w:color w:val="auto"/>
          <w:sz w:val="22"/>
          <w:szCs w:val="22"/>
        </w:rPr>
        <w:t xml:space="preserve">, решение </w:t>
      </w:r>
      <w:r>
        <w:rPr>
          <w:color w:val="auto"/>
          <w:sz w:val="22"/>
          <w:szCs w:val="22"/>
        </w:rPr>
        <w:t xml:space="preserve">для </w:t>
      </w:r>
      <w:r w:rsidRPr="001937C8">
        <w:rPr>
          <w:color w:val="auto"/>
          <w:sz w:val="22"/>
          <w:szCs w:val="22"/>
        </w:rPr>
        <w:t xml:space="preserve">которой имеет известные интегральные представления для любого </w:t>
      </w:r>
      <w:r>
        <w:rPr>
          <w:color w:val="auto"/>
          <w:sz w:val="22"/>
          <w:szCs w:val="22"/>
        </w:rPr>
        <w:t>точечного</w:t>
      </w:r>
      <w:r w:rsidRPr="001937C8">
        <w:rPr>
          <w:color w:val="auto"/>
          <w:sz w:val="22"/>
          <w:szCs w:val="22"/>
        </w:rPr>
        <w:t xml:space="preserve"> и</w:t>
      </w:r>
      <w:r>
        <w:rPr>
          <w:color w:val="auto"/>
          <w:sz w:val="22"/>
          <w:szCs w:val="22"/>
        </w:rPr>
        <w:t>ли</w:t>
      </w:r>
      <w:r w:rsidRPr="001937C8">
        <w:rPr>
          <w:color w:val="auto"/>
          <w:sz w:val="22"/>
          <w:szCs w:val="22"/>
        </w:rPr>
        <w:t xml:space="preserve"> распределённого источника</w:t>
      </w:r>
      <w:r>
        <w:rPr>
          <w:color w:val="auto"/>
          <w:sz w:val="22"/>
          <w:szCs w:val="22"/>
        </w:rPr>
        <w:t xml:space="preserve"> </w:t>
      </w:r>
      <w:r w:rsidRPr="00B50518">
        <w:rPr>
          <w:color w:val="auto"/>
          <w:sz w:val="22"/>
          <w:szCs w:val="22"/>
        </w:rPr>
        <w:t>[</w:t>
      </w:r>
      <w:r>
        <w:rPr>
          <w:color w:val="auto"/>
          <w:sz w:val="22"/>
          <w:szCs w:val="22"/>
        </w:rPr>
        <w:t>1</w:t>
      </w:r>
      <w:r w:rsidRPr="00B50518">
        <w:rPr>
          <w:color w:val="auto"/>
          <w:sz w:val="22"/>
          <w:szCs w:val="22"/>
        </w:rPr>
        <w:t>]</w:t>
      </w:r>
      <w:r>
        <w:rPr>
          <w:color w:val="auto"/>
          <w:sz w:val="22"/>
          <w:szCs w:val="22"/>
        </w:rPr>
        <w:t>.</w:t>
      </w:r>
      <w:r w:rsidRPr="001937C8">
        <w:rPr>
          <w:color w:val="auto"/>
          <w:sz w:val="28"/>
          <w:szCs w:val="28"/>
        </w:rPr>
        <w:t xml:space="preserve"> </w:t>
      </w:r>
      <w:r w:rsidRPr="001937C8">
        <w:rPr>
          <w:color w:val="auto"/>
          <w:sz w:val="22"/>
          <w:szCs w:val="22"/>
        </w:rPr>
        <w:t xml:space="preserve">Если рассмотреть теперь дополнительный сторонний ток в </w:t>
      </w:r>
      <w:proofErr w:type="spellStart"/>
      <w:r>
        <w:rPr>
          <w:color w:val="auto"/>
          <w:sz w:val="22"/>
          <w:szCs w:val="22"/>
        </w:rPr>
        <w:t>референтной</w:t>
      </w:r>
      <w:proofErr w:type="spellEnd"/>
      <w:r>
        <w:rPr>
          <w:color w:val="auto"/>
          <w:sz w:val="22"/>
          <w:szCs w:val="22"/>
        </w:rPr>
        <w:t xml:space="preserve"> среде</w:t>
      </w:r>
      <w:r w:rsidRPr="001937C8">
        <w:rPr>
          <w:color w:val="auto"/>
          <w:sz w:val="22"/>
          <w:szCs w:val="22"/>
        </w:rPr>
        <w:t xml:space="preserve">, то можно получить алгоритм для расчётов аномального поля </w:t>
      </w:r>
      <w:r>
        <w:rPr>
          <w:color w:val="auto"/>
          <w:sz w:val="22"/>
          <w:szCs w:val="22"/>
        </w:rPr>
        <w:t>на основе теории возмущений</w:t>
      </w:r>
      <w:r w:rsidRPr="001937C8">
        <w:rPr>
          <w:color w:val="auto"/>
          <w:sz w:val="22"/>
          <w:szCs w:val="22"/>
        </w:rPr>
        <w:t>.</w:t>
      </w:r>
    </w:p>
    <w:p w:rsidR="00374311" w:rsidRDefault="00374311" w:rsidP="00EF3719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Рассмотрим</w:t>
      </w:r>
      <w:r w:rsidRPr="00CC041B">
        <w:rPr>
          <w:sz w:val="22"/>
          <w:szCs w:val="22"/>
        </w:rPr>
        <w:t xml:space="preserve"> простой, но достаточно важный </w:t>
      </w:r>
      <w:r w:rsidRPr="008855FF">
        <w:rPr>
          <w:sz w:val="22"/>
          <w:szCs w:val="22"/>
        </w:rPr>
        <w:t xml:space="preserve">пример осесимметричной задачи. Источник - токовая петля с током </w:t>
      </w:r>
      <w:r w:rsidRPr="008855FF">
        <w:rPr>
          <w:position w:val="-4"/>
          <w:sz w:val="22"/>
          <w:szCs w:val="22"/>
        </w:rPr>
        <w:object w:dxaOrig="1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5pt;height:12.1pt" o:ole="">
            <v:imagedata r:id="rId6" o:title=""/>
          </v:shape>
          <o:OLEObject Type="Embed" ProgID="Equation.DSMT4" ShapeID="_x0000_i1025" DrawAspect="Content" ObjectID="_1435137339" r:id="rId7"/>
        </w:object>
      </w:r>
      <w:r w:rsidRPr="008855FF">
        <w:rPr>
          <w:sz w:val="22"/>
          <w:szCs w:val="22"/>
        </w:rPr>
        <w:t xml:space="preserve">, радиуса </w:t>
      </w:r>
      <w:r w:rsidRPr="008855FF">
        <w:rPr>
          <w:position w:val="-10"/>
          <w:sz w:val="22"/>
          <w:szCs w:val="22"/>
        </w:rPr>
        <w:object w:dxaOrig="200" w:dyaOrig="320">
          <v:shape id="_x0000_i1026" type="#_x0000_t75" style="width:10.7pt;height:15.7pt" o:ole="">
            <v:imagedata r:id="rId8" o:title=""/>
          </v:shape>
          <o:OLEObject Type="Embed" ProgID="Equation.DSMT4" ShapeID="_x0000_i1026" DrawAspect="Content" ObjectID="_1435137340" r:id="rId9"/>
        </w:object>
      </w:r>
      <w:r w:rsidRPr="008855FF">
        <w:rPr>
          <w:sz w:val="22"/>
          <w:szCs w:val="22"/>
        </w:rPr>
        <w:t xml:space="preserve"> и на уровне </w:t>
      </w:r>
      <w:r w:rsidRPr="008855FF">
        <w:rPr>
          <w:position w:val="-10"/>
          <w:sz w:val="22"/>
          <w:szCs w:val="22"/>
        </w:rPr>
        <w:object w:dxaOrig="240" w:dyaOrig="320">
          <v:shape id="_x0000_i1027" type="#_x0000_t75" style="width:12.1pt;height:15.7pt" o:ole="">
            <v:imagedata r:id="rId10" o:title=""/>
          </v:shape>
          <o:OLEObject Type="Embed" ProgID="Equation.DSMT4" ShapeID="_x0000_i1027" DrawAspect="Content" ObjectID="_1435137341" r:id="rId11"/>
        </w:object>
      </w:r>
      <w:r w:rsidRPr="008855FF">
        <w:rPr>
          <w:sz w:val="22"/>
          <w:szCs w:val="22"/>
        </w:rPr>
        <w:t xml:space="preserve"> </w:t>
      </w:r>
      <w:r>
        <w:rPr>
          <w:sz w:val="22"/>
          <w:szCs w:val="22"/>
        </w:rPr>
        <w:t>вы</w:t>
      </w:r>
      <w:r w:rsidRPr="008855FF">
        <w:rPr>
          <w:sz w:val="22"/>
          <w:szCs w:val="22"/>
        </w:rPr>
        <w:t>ключается</w:t>
      </w:r>
      <w:r>
        <w:rPr>
          <w:sz w:val="22"/>
          <w:szCs w:val="22"/>
        </w:rPr>
        <w:t xml:space="preserve"> в момент времени </w:t>
      </w:r>
      <w:r w:rsidRPr="00153F42">
        <w:rPr>
          <w:position w:val="-6"/>
          <w:sz w:val="22"/>
          <w:szCs w:val="22"/>
        </w:rPr>
        <w:object w:dxaOrig="460" w:dyaOrig="260">
          <v:shape id="_x0000_i1028" type="#_x0000_t75" style="width:23.5pt;height:13.55pt" o:ole="">
            <v:imagedata r:id="rId12" o:title=""/>
          </v:shape>
          <o:OLEObject Type="Embed" ProgID="Equation.DSMT4" ShapeID="_x0000_i1028" DrawAspect="Content" ObjectID="_1435137342" r:id="rId13"/>
        </w:object>
      </w:r>
      <w:r w:rsidRPr="008855FF">
        <w:rPr>
          <w:sz w:val="22"/>
          <w:szCs w:val="22"/>
        </w:rPr>
        <w:t xml:space="preserve">. </w:t>
      </w:r>
      <w:r>
        <w:rPr>
          <w:sz w:val="22"/>
          <w:szCs w:val="22"/>
        </w:rPr>
        <w:t>Э</w:t>
      </w:r>
      <w:r w:rsidRPr="008855FF">
        <w:rPr>
          <w:sz w:val="22"/>
          <w:szCs w:val="22"/>
        </w:rPr>
        <w:t xml:space="preserve">лектрическое поле в цилиндрической системе координат имеет только компоненту </w:t>
      </w:r>
      <w:r w:rsidRPr="008855FF">
        <w:rPr>
          <w:position w:val="-14"/>
          <w:sz w:val="22"/>
          <w:szCs w:val="22"/>
        </w:rPr>
        <w:object w:dxaOrig="300" w:dyaOrig="360">
          <v:shape id="_x0000_i1029" type="#_x0000_t75" style="width:14.95pt;height:17.8pt" o:ole="">
            <v:imagedata r:id="rId14" o:title=""/>
          </v:shape>
          <o:OLEObject Type="Embed" ProgID="Equation.DSMT4" ShapeID="_x0000_i1029" DrawAspect="Content" ObjectID="_1435137343" r:id="rId15"/>
        </w:object>
      </w:r>
      <w:r>
        <w:rPr>
          <w:sz w:val="22"/>
          <w:szCs w:val="22"/>
        </w:rPr>
        <w:t xml:space="preserve"> и базовое решение можно записать в виде:</w:t>
      </w:r>
    </w:p>
    <w:p w:rsidR="00374311" w:rsidRPr="00CC041B" w:rsidRDefault="00374311" w:rsidP="008855FF">
      <w:pPr>
        <w:pStyle w:val="Default"/>
        <w:jc w:val="center"/>
        <w:rPr>
          <w:color w:val="auto"/>
          <w:sz w:val="22"/>
          <w:szCs w:val="22"/>
        </w:rPr>
      </w:pPr>
      <w:r w:rsidRPr="008855FF">
        <w:rPr>
          <w:position w:val="-14"/>
          <w:sz w:val="22"/>
          <w:szCs w:val="22"/>
        </w:rPr>
        <w:object w:dxaOrig="2620" w:dyaOrig="380">
          <v:shape id="_x0000_i1030" type="#_x0000_t75" style="width:131.15pt;height:19.25pt" o:ole="">
            <v:imagedata r:id="rId16" o:title=""/>
          </v:shape>
          <o:OLEObject Type="Embed" ProgID="Equation.DSMT4" ShapeID="_x0000_i1030" DrawAspect="Content" ObjectID="_1435137344" r:id="rId17"/>
        </w:object>
      </w:r>
    </w:p>
    <w:p w:rsidR="00374311" w:rsidRPr="00152E46" w:rsidRDefault="00374311" w:rsidP="00EF371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152E46">
        <w:rPr>
          <w:sz w:val="22"/>
          <w:szCs w:val="22"/>
        </w:rPr>
        <w:t xml:space="preserve">Допустим, что в некоторой кольцевой области с сечением </w:t>
      </w:r>
      <w:r w:rsidRPr="00152E46">
        <w:rPr>
          <w:position w:val="-12"/>
          <w:sz w:val="22"/>
          <w:szCs w:val="22"/>
        </w:rPr>
        <w:object w:dxaOrig="680" w:dyaOrig="360">
          <v:shape id="_x0000_i1031" type="#_x0000_t75" style="width:32.8pt;height:17.8pt" o:ole="">
            <v:imagedata r:id="rId18" o:title=""/>
          </v:shape>
          <o:OLEObject Type="Embed" ProgID="Equation.DSMT4" ShapeID="_x0000_i1031" DrawAspect="Content" ObjectID="_1435137345" r:id="rId19"/>
        </w:object>
      </w:r>
      <w:r w:rsidRPr="00152E46">
        <w:rPr>
          <w:sz w:val="22"/>
          <w:szCs w:val="22"/>
        </w:rPr>
        <w:t xml:space="preserve"> действует возмущающий по отношению к базовой модели фактор, зависящий от электрического поля линейно. В этой области первое уравнение Максвелла после выключения источника будет выглядеть следующим образом:</w:t>
      </w:r>
    </w:p>
    <w:p w:rsidR="00374311" w:rsidRDefault="00374311" w:rsidP="00153F42">
      <w:pPr>
        <w:pStyle w:val="Default"/>
        <w:tabs>
          <w:tab w:val="left" w:pos="5529"/>
        </w:tabs>
        <w:jc w:val="right"/>
        <w:rPr>
          <w:sz w:val="22"/>
          <w:szCs w:val="22"/>
        </w:rPr>
      </w:pPr>
      <w:r w:rsidRPr="00152E46">
        <w:rPr>
          <w:position w:val="-12"/>
          <w:sz w:val="22"/>
          <w:szCs w:val="22"/>
        </w:rPr>
        <w:object w:dxaOrig="2160" w:dyaOrig="400">
          <v:shape id="_x0000_i1032" type="#_x0000_t75" style="width:108.35pt;height:19.25pt" o:ole="">
            <v:imagedata r:id="rId20" o:title=""/>
          </v:shape>
          <o:OLEObject Type="Embed" ProgID="Equation.DSMT4" ShapeID="_x0000_i1032" DrawAspect="Content" ObjectID="_1435137346" r:id="rId21"/>
        </w:objec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  <w:t>(1)</w:t>
      </w:r>
    </w:p>
    <w:p w:rsidR="00374311" w:rsidRPr="00152E46" w:rsidRDefault="00374311" w:rsidP="00152E46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 xml:space="preserve">где </w:t>
      </w:r>
      <w:r w:rsidRPr="00152E46">
        <w:rPr>
          <w:position w:val="-4"/>
          <w:sz w:val="22"/>
          <w:szCs w:val="22"/>
        </w:rPr>
        <w:object w:dxaOrig="200" w:dyaOrig="320">
          <v:shape id="_x0000_i1033" type="#_x0000_t75" style="width:10.7pt;height:15.7pt" o:ole="">
            <v:imagedata r:id="rId22" o:title=""/>
          </v:shape>
          <o:OLEObject Type="Embed" ProgID="Equation.DSMT4" ShapeID="_x0000_i1033" DrawAspect="Content" ObjectID="_1435137347" r:id="rId23"/>
        </w:object>
      </w:r>
      <w:r>
        <w:rPr>
          <w:sz w:val="22"/>
          <w:szCs w:val="22"/>
        </w:rPr>
        <w:t xml:space="preserve"> - </w:t>
      </w:r>
      <w:r w:rsidRPr="00152E46">
        <w:rPr>
          <w:sz w:val="22"/>
          <w:szCs w:val="22"/>
        </w:rPr>
        <w:t>линейн</w:t>
      </w:r>
      <w:bookmarkStart w:id="0" w:name="_GoBack"/>
      <w:bookmarkEnd w:id="0"/>
      <w:r w:rsidRPr="00152E46">
        <w:rPr>
          <w:sz w:val="22"/>
          <w:szCs w:val="22"/>
        </w:rPr>
        <w:t>ый оператор (в том числе, дифференциальный и интегральный). Поле, соответственно, можно представить, как сумму базового решения и аномальной части:</w:t>
      </w:r>
    </w:p>
    <w:p w:rsidR="00374311" w:rsidRDefault="00374311" w:rsidP="002B7D40">
      <w:pPr>
        <w:pStyle w:val="Default"/>
        <w:jc w:val="center"/>
        <w:rPr>
          <w:color w:val="auto"/>
          <w:sz w:val="22"/>
          <w:szCs w:val="22"/>
        </w:rPr>
      </w:pPr>
      <w:r w:rsidRPr="002B7D40">
        <w:rPr>
          <w:position w:val="-10"/>
          <w:sz w:val="22"/>
          <w:szCs w:val="22"/>
        </w:rPr>
        <w:object w:dxaOrig="2140" w:dyaOrig="340">
          <v:shape id="_x0000_i1034" type="#_x0000_t75" style="width:106.95pt;height:15.7pt" o:ole="">
            <v:imagedata r:id="rId24" o:title=""/>
          </v:shape>
          <o:OLEObject Type="Embed" ProgID="Equation.DSMT4" ShapeID="_x0000_i1034" DrawAspect="Content" ObjectID="_1435137348" r:id="rId25"/>
        </w:object>
      </w:r>
      <w:r>
        <w:rPr>
          <w:sz w:val="22"/>
          <w:szCs w:val="22"/>
        </w:rPr>
        <w:t>.</w:t>
      </w:r>
    </w:p>
    <w:p w:rsidR="00374311" w:rsidRPr="002B7D40" w:rsidRDefault="00374311" w:rsidP="00EF3719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2B7D40">
        <w:rPr>
          <w:sz w:val="22"/>
          <w:szCs w:val="22"/>
        </w:rPr>
        <w:t xml:space="preserve">Рассматривая член </w:t>
      </w:r>
      <w:r w:rsidRPr="002B7D40">
        <w:rPr>
          <w:position w:val="-12"/>
          <w:sz w:val="22"/>
          <w:szCs w:val="22"/>
        </w:rPr>
        <w:object w:dxaOrig="520" w:dyaOrig="400">
          <v:shape id="_x0000_i1035" type="#_x0000_t75" style="width:26.4pt;height:19.25pt" o:ole="">
            <v:imagedata r:id="rId26" o:title=""/>
          </v:shape>
          <o:OLEObject Type="Embed" ProgID="Equation.DSMT4" ShapeID="_x0000_i1035" DrawAspect="Content" ObjectID="_1435137349" r:id="rId27"/>
        </w:object>
      </w:r>
      <w:r w:rsidRPr="002B7D40">
        <w:rPr>
          <w:sz w:val="22"/>
          <w:szCs w:val="22"/>
        </w:rPr>
        <w:t xml:space="preserve">, как сторонний ток (невзаимодействующие между собой токовые петли с переменным током) в базовой </w:t>
      </w:r>
      <w:proofErr w:type="spellStart"/>
      <w:r w:rsidRPr="002B7D40">
        <w:rPr>
          <w:sz w:val="22"/>
          <w:szCs w:val="22"/>
        </w:rPr>
        <w:t>сред</w:t>
      </w:r>
      <w:proofErr w:type="gramStart"/>
      <w:r w:rsidRPr="002B7D40">
        <w:rPr>
          <w:sz w:val="22"/>
          <w:szCs w:val="22"/>
        </w:rPr>
        <w:t>e</w:t>
      </w:r>
      <w:proofErr w:type="spellEnd"/>
      <w:proofErr w:type="gramEnd"/>
      <w:r w:rsidRPr="002B7D40">
        <w:rPr>
          <w:sz w:val="22"/>
          <w:szCs w:val="22"/>
        </w:rPr>
        <w:t xml:space="preserve"> </w:t>
      </w:r>
      <w:r w:rsidRPr="002B7D40">
        <w:rPr>
          <w:position w:val="-12"/>
          <w:sz w:val="22"/>
          <w:szCs w:val="22"/>
        </w:rPr>
        <w:object w:dxaOrig="480" w:dyaOrig="360">
          <v:shape id="_x0000_i1036" type="#_x0000_t75" style="width:24.25pt;height:17.8pt" o:ole="">
            <v:imagedata r:id="rId28" o:title=""/>
          </v:shape>
          <o:OLEObject Type="Embed" ProgID="Equation.DSMT4" ShapeID="_x0000_i1036" DrawAspect="Content" ObjectID="_1435137350" r:id="rId29"/>
        </w:object>
      </w:r>
      <w:r w:rsidRPr="002B7D40">
        <w:rPr>
          <w:sz w:val="22"/>
          <w:szCs w:val="22"/>
        </w:rPr>
        <w:t>, получим для полного поля</w:t>
      </w:r>
      <w:r>
        <w:rPr>
          <w:sz w:val="22"/>
          <w:szCs w:val="22"/>
        </w:rPr>
        <w:t>:</w:t>
      </w:r>
    </w:p>
    <w:p w:rsidR="00374311" w:rsidRDefault="00374311" w:rsidP="009A1555">
      <w:pPr>
        <w:pStyle w:val="Default"/>
        <w:tabs>
          <w:tab w:val="left" w:pos="8080"/>
        </w:tabs>
        <w:jc w:val="right"/>
        <w:rPr>
          <w:color w:val="auto"/>
          <w:sz w:val="22"/>
          <w:szCs w:val="22"/>
        </w:rPr>
      </w:pPr>
      <w:r w:rsidRPr="00200A57">
        <w:rPr>
          <w:position w:val="-28"/>
          <w:sz w:val="22"/>
          <w:szCs w:val="22"/>
        </w:rPr>
        <w:object w:dxaOrig="7280" w:dyaOrig="680">
          <v:shape id="_x0000_i1037" type="#_x0000_t75" style="width:357.15pt;height:32.8pt" o:ole="">
            <v:imagedata r:id="rId30" o:title=""/>
          </v:shape>
          <o:OLEObject Type="Embed" ProgID="Equation.DSMT4" ShapeID="_x0000_i1037" DrawAspect="Content" ObjectID="_1435137351" r:id="rId31"/>
        </w:object>
      </w:r>
      <w:r>
        <w:rPr>
          <w:sz w:val="22"/>
          <w:szCs w:val="22"/>
        </w:rPr>
        <w:tab/>
        <w:t>(2)</w:t>
      </w:r>
    </w:p>
    <w:p w:rsidR="00374311" w:rsidRDefault="00374311" w:rsidP="00EF3719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в </w:t>
      </w:r>
      <w:r w:rsidRPr="00AE07C9">
        <w:rPr>
          <w:sz w:val="22"/>
          <w:szCs w:val="22"/>
        </w:rPr>
        <w:t>интегрально</w:t>
      </w:r>
      <w:r>
        <w:rPr>
          <w:sz w:val="22"/>
          <w:szCs w:val="22"/>
        </w:rPr>
        <w:t>м</w:t>
      </w:r>
      <w:r w:rsidRPr="00AE07C9">
        <w:rPr>
          <w:sz w:val="22"/>
          <w:szCs w:val="22"/>
        </w:rPr>
        <w:t xml:space="preserve"> уравнени</w:t>
      </w:r>
      <w:r>
        <w:rPr>
          <w:sz w:val="22"/>
          <w:szCs w:val="22"/>
        </w:rPr>
        <w:t>и (2)</w:t>
      </w:r>
      <w:r w:rsidRPr="00AE07C9">
        <w:rPr>
          <w:sz w:val="22"/>
          <w:szCs w:val="22"/>
        </w:rPr>
        <w:t xml:space="preserve"> заменить в подынтегральной функции полное поле нормальным («базовым»)</w:t>
      </w:r>
      <w:r>
        <w:rPr>
          <w:sz w:val="22"/>
          <w:szCs w:val="22"/>
        </w:rPr>
        <w:t xml:space="preserve">, то </w:t>
      </w:r>
      <w:r w:rsidRPr="00AE07C9">
        <w:rPr>
          <w:sz w:val="22"/>
          <w:szCs w:val="22"/>
        </w:rPr>
        <w:t xml:space="preserve">при малых возмущениях </w:t>
      </w:r>
      <w:r>
        <w:rPr>
          <w:sz w:val="22"/>
          <w:szCs w:val="22"/>
        </w:rPr>
        <w:t xml:space="preserve">проводимости в области </w:t>
      </w:r>
      <w:r w:rsidRPr="007E758B">
        <w:rPr>
          <w:position w:val="-6"/>
          <w:sz w:val="22"/>
          <w:szCs w:val="22"/>
        </w:rPr>
        <w:object w:dxaOrig="200" w:dyaOrig="260">
          <v:shape id="_x0000_i1038" type="#_x0000_t75" style="width:10pt;height:13.55pt" o:ole="">
            <v:imagedata r:id="rId32" o:title=""/>
          </v:shape>
          <o:OLEObject Type="Embed" ProgID="Equation.DSMT4" ShapeID="_x0000_i1038" DrawAspect="Content" ObjectID="_1435137352" r:id="rId33"/>
        </w:object>
      </w:r>
      <w:r w:rsidRPr="00AE07C9">
        <w:rPr>
          <w:sz w:val="22"/>
          <w:szCs w:val="22"/>
        </w:rPr>
        <w:t xml:space="preserve">, приближённое решение </w:t>
      </w:r>
      <w:r>
        <w:rPr>
          <w:sz w:val="22"/>
          <w:szCs w:val="22"/>
        </w:rPr>
        <w:t>(2) имеет вид</w:t>
      </w:r>
      <w:r w:rsidRPr="00AE07C9">
        <w:rPr>
          <w:sz w:val="22"/>
          <w:szCs w:val="22"/>
        </w:rPr>
        <w:t>:</w:t>
      </w:r>
    </w:p>
    <w:p w:rsidR="00374311" w:rsidRPr="00AE07C9" w:rsidRDefault="00374311" w:rsidP="00AE07C9">
      <w:pPr>
        <w:pStyle w:val="Default"/>
        <w:jc w:val="center"/>
        <w:rPr>
          <w:color w:val="auto"/>
          <w:sz w:val="22"/>
          <w:szCs w:val="22"/>
        </w:rPr>
      </w:pPr>
      <w:r w:rsidRPr="00200A57">
        <w:rPr>
          <w:position w:val="-28"/>
          <w:sz w:val="22"/>
          <w:szCs w:val="22"/>
        </w:rPr>
        <w:object w:dxaOrig="7420" w:dyaOrig="680">
          <v:shape id="_x0000_i1039" type="#_x0000_t75" style="width:371.4pt;height:32.8pt" o:ole="">
            <v:imagedata r:id="rId34" o:title=""/>
          </v:shape>
          <o:OLEObject Type="Embed" ProgID="Equation.DSMT4" ShapeID="_x0000_i1039" DrawAspect="Content" ObjectID="_1435137353" r:id="rId35"/>
        </w:object>
      </w:r>
    </w:p>
    <w:p w:rsidR="00374311" w:rsidRDefault="00374311" w:rsidP="00006C2E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Можно показать, что это есть линейная часть разложения решения предыдущего интегрального уравнения в ряд Неймана, а также </w:t>
      </w:r>
      <w:r w:rsidRPr="00E65300">
        <w:rPr>
          <w:color w:val="auto"/>
          <w:sz w:val="22"/>
          <w:szCs w:val="22"/>
        </w:rPr>
        <w:t xml:space="preserve">наше приближение </w:t>
      </w:r>
      <w:r w:rsidRPr="00E65300">
        <w:rPr>
          <w:sz w:val="22"/>
          <w:szCs w:val="22"/>
        </w:rPr>
        <w:t xml:space="preserve">соответствует известному борновскому приближению в теории рассеяния. </w:t>
      </w:r>
      <w:r>
        <w:rPr>
          <w:sz w:val="22"/>
          <w:szCs w:val="22"/>
        </w:rPr>
        <w:t>Таким образом, можно утверждать, что наша задача линеаризована. Для</w:t>
      </w:r>
      <w:r w:rsidRPr="00744B2F">
        <w:rPr>
          <w:sz w:val="22"/>
          <w:szCs w:val="22"/>
        </w:rPr>
        <w:t xml:space="preserve"> дополнительн</w:t>
      </w:r>
      <w:r>
        <w:rPr>
          <w:sz w:val="22"/>
          <w:szCs w:val="22"/>
        </w:rPr>
        <w:t>ого</w:t>
      </w:r>
      <w:r w:rsidRPr="00744B2F">
        <w:rPr>
          <w:sz w:val="22"/>
          <w:szCs w:val="22"/>
        </w:rPr>
        <w:t xml:space="preserve"> </w:t>
      </w:r>
      <w:r w:rsidRPr="00B3620F">
        <w:rPr>
          <w:sz w:val="22"/>
          <w:szCs w:val="22"/>
        </w:rPr>
        <w:t>сторонн</w:t>
      </w:r>
      <w:r>
        <w:rPr>
          <w:sz w:val="22"/>
          <w:szCs w:val="22"/>
        </w:rPr>
        <w:t>его</w:t>
      </w:r>
      <w:r w:rsidRPr="00B3620F">
        <w:rPr>
          <w:sz w:val="22"/>
          <w:szCs w:val="22"/>
        </w:rPr>
        <w:t xml:space="preserve"> ток</w:t>
      </w:r>
      <w:r>
        <w:rPr>
          <w:sz w:val="22"/>
          <w:szCs w:val="22"/>
        </w:rPr>
        <w:t>а</w:t>
      </w:r>
      <w:r w:rsidRPr="00B3620F">
        <w:rPr>
          <w:sz w:val="22"/>
          <w:szCs w:val="22"/>
        </w:rPr>
        <w:t xml:space="preserve"> в виде </w:t>
      </w:r>
      <w:r w:rsidRPr="00B3620F">
        <w:rPr>
          <w:position w:val="-12"/>
          <w:sz w:val="22"/>
          <w:szCs w:val="22"/>
        </w:rPr>
        <w:object w:dxaOrig="1680" w:dyaOrig="400">
          <v:shape id="_x0000_i1040" type="#_x0000_t75" style="width:84.1pt;height:19.25pt" o:ole="">
            <v:imagedata r:id="rId36" o:title=""/>
          </v:shape>
          <o:OLEObject Type="Embed" ProgID="Equation.DSMT4" ShapeID="_x0000_i1040" DrawAspect="Content" ObjectID="_1435137354" r:id="rId37"/>
        </w:object>
      </w:r>
      <w:r>
        <w:rPr>
          <w:sz w:val="22"/>
          <w:szCs w:val="22"/>
        </w:rPr>
        <w:t xml:space="preserve"> был </w:t>
      </w:r>
      <w:r w:rsidRPr="00B3620F">
        <w:rPr>
          <w:sz w:val="22"/>
          <w:szCs w:val="22"/>
        </w:rPr>
        <w:t>постро</w:t>
      </w:r>
      <w:r>
        <w:rPr>
          <w:sz w:val="22"/>
          <w:szCs w:val="22"/>
        </w:rPr>
        <w:t>ен</w:t>
      </w:r>
      <w:r w:rsidRPr="00B3620F">
        <w:rPr>
          <w:sz w:val="22"/>
          <w:szCs w:val="22"/>
        </w:rPr>
        <w:t xml:space="preserve"> а</w:t>
      </w:r>
      <w:r>
        <w:rPr>
          <w:sz w:val="22"/>
          <w:szCs w:val="22"/>
        </w:rPr>
        <w:t>лгоритм</w:t>
      </w:r>
      <w:r w:rsidRPr="00B3620F">
        <w:rPr>
          <w:sz w:val="22"/>
          <w:szCs w:val="22"/>
        </w:rPr>
        <w:t xml:space="preserve"> уч</w:t>
      </w:r>
      <w:r>
        <w:rPr>
          <w:sz w:val="22"/>
          <w:szCs w:val="22"/>
        </w:rPr>
        <w:t>итывающий</w:t>
      </w:r>
      <w:r w:rsidRPr="00B3620F">
        <w:rPr>
          <w:sz w:val="22"/>
          <w:szCs w:val="22"/>
        </w:rPr>
        <w:t xml:space="preserve"> </w:t>
      </w:r>
      <w:r w:rsidRPr="00272ED4">
        <w:rPr>
          <w:sz w:val="22"/>
          <w:szCs w:val="22"/>
        </w:rPr>
        <w:t>возмущени</w:t>
      </w:r>
      <w:r>
        <w:rPr>
          <w:sz w:val="22"/>
          <w:szCs w:val="22"/>
        </w:rPr>
        <w:t>е</w:t>
      </w:r>
      <w:r w:rsidRPr="00272ED4">
        <w:rPr>
          <w:sz w:val="22"/>
          <w:szCs w:val="22"/>
        </w:rPr>
        <w:t xml:space="preserve"> проводимости</w:t>
      </w:r>
      <w:r>
        <w:rPr>
          <w:sz w:val="22"/>
          <w:szCs w:val="22"/>
        </w:rPr>
        <w:t xml:space="preserve"> или, д</w:t>
      </w:r>
      <w:r w:rsidRPr="00272ED4">
        <w:rPr>
          <w:sz w:val="22"/>
          <w:szCs w:val="22"/>
        </w:rPr>
        <w:t xml:space="preserve">ругими словами, </w:t>
      </w:r>
      <w:r>
        <w:rPr>
          <w:sz w:val="22"/>
          <w:szCs w:val="22"/>
        </w:rPr>
        <w:t>алгоритм</w:t>
      </w:r>
      <w:r w:rsidRPr="00272ED4">
        <w:rPr>
          <w:sz w:val="22"/>
          <w:szCs w:val="22"/>
        </w:rPr>
        <w:t xml:space="preserve"> расчёта трёхмерной прямой задачи</w:t>
      </w:r>
      <w:r>
        <w:rPr>
          <w:sz w:val="22"/>
          <w:szCs w:val="22"/>
        </w:rPr>
        <w:t xml:space="preserve"> в линеаризованном приближении </w:t>
      </w:r>
      <w:r w:rsidRPr="00922A09">
        <w:rPr>
          <w:sz w:val="22"/>
          <w:szCs w:val="22"/>
        </w:rPr>
        <w:t>[1]</w:t>
      </w:r>
      <w:r w:rsidRPr="00272ED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D4F59">
        <w:rPr>
          <w:sz w:val="22"/>
          <w:szCs w:val="22"/>
        </w:rPr>
        <w:t>Алгоритм реализован в виде программы MAG3D.</w:t>
      </w:r>
    </w:p>
    <w:p w:rsidR="00374311" w:rsidRPr="00BE193B" w:rsidRDefault="00374311" w:rsidP="003B6D10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E193B">
        <w:rPr>
          <w:rFonts w:ascii="Times New Roman" w:hAnsi="Times New Roman"/>
          <w:bCs/>
        </w:rPr>
        <w:t>Перв</w:t>
      </w:r>
      <w:r>
        <w:rPr>
          <w:rFonts w:ascii="Times New Roman" w:hAnsi="Times New Roman"/>
          <w:bCs/>
        </w:rPr>
        <w:t>ым этапом</w:t>
      </w:r>
      <w:r w:rsidRPr="00BE193B">
        <w:rPr>
          <w:rFonts w:ascii="Times New Roman" w:hAnsi="Times New Roman"/>
          <w:bCs/>
        </w:rPr>
        <w:t xml:space="preserve"> тестировани</w:t>
      </w:r>
      <w:r>
        <w:rPr>
          <w:rFonts w:ascii="Times New Roman" w:hAnsi="Times New Roman"/>
          <w:bCs/>
        </w:rPr>
        <w:t>я</w:t>
      </w:r>
      <w:r w:rsidRPr="00BE193B">
        <w:rPr>
          <w:rFonts w:ascii="Times New Roman" w:hAnsi="Times New Roman"/>
          <w:bCs/>
        </w:rPr>
        <w:t xml:space="preserve"> новой программы MAG3D</w:t>
      </w:r>
      <w:r>
        <w:rPr>
          <w:rFonts w:ascii="Times New Roman" w:hAnsi="Times New Roman"/>
          <w:bCs/>
        </w:rPr>
        <w:t xml:space="preserve"> был</w:t>
      </w:r>
      <w:r w:rsidRPr="00BE193B">
        <w:rPr>
          <w:rFonts w:ascii="Times New Roman" w:hAnsi="Times New Roman"/>
          <w:bCs/>
        </w:rPr>
        <w:t>о сравн</w:t>
      </w:r>
      <w:r>
        <w:rPr>
          <w:rFonts w:ascii="Times New Roman" w:hAnsi="Times New Roman"/>
          <w:bCs/>
        </w:rPr>
        <w:t>ение</w:t>
      </w:r>
      <w:r w:rsidRPr="00BE193B">
        <w:rPr>
          <w:rFonts w:ascii="Times New Roman" w:hAnsi="Times New Roman"/>
          <w:bCs/>
        </w:rPr>
        <w:t xml:space="preserve"> результат</w:t>
      </w:r>
      <w:r>
        <w:rPr>
          <w:rFonts w:ascii="Times New Roman" w:hAnsi="Times New Roman"/>
          <w:bCs/>
        </w:rPr>
        <w:t>ов</w:t>
      </w:r>
      <w:r w:rsidRPr="00BE193B">
        <w:rPr>
          <w:rFonts w:ascii="Times New Roman" w:hAnsi="Times New Roman"/>
          <w:bCs/>
        </w:rPr>
        <w:t xml:space="preserve"> расч</w:t>
      </w:r>
      <w:r>
        <w:rPr>
          <w:rFonts w:ascii="Times New Roman" w:hAnsi="Times New Roman"/>
          <w:bCs/>
        </w:rPr>
        <w:t>ё</w:t>
      </w:r>
      <w:r w:rsidRPr="00BE193B">
        <w:rPr>
          <w:rFonts w:ascii="Times New Roman" w:hAnsi="Times New Roman"/>
          <w:bCs/>
        </w:rPr>
        <w:t>т</w:t>
      </w:r>
      <w:r>
        <w:rPr>
          <w:rFonts w:ascii="Times New Roman" w:hAnsi="Times New Roman"/>
          <w:bCs/>
        </w:rPr>
        <w:t>ов</w:t>
      </w:r>
      <w:r w:rsidRPr="00BE193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 аналитическими решениями и</w:t>
      </w:r>
      <w:r w:rsidRPr="00BE193B">
        <w:rPr>
          <w:rFonts w:ascii="Times New Roman" w:hAnsi="Times New Roman"/>
          <w:bCs/>
        </w:rPr>
        <w:t xml:space="preserve"> уже известными и проверенными программами. В данном случае это </w:t>
      </w:r>
      <w:r>
        <w:rPr>
          <w:rFonts w:ascii="Times New Roman" w:hAnsi="Times New Roman"/>
          <w:bCs/>
        </w:rPr>
        <w:t xml:space="preserve">была </w:t>
      </w:r>
      <w:r w:rsidRPr="00BE193B">
        <w:rPr>
          <w:rFonts w:ascii="Times New Roman" w:hAnsi="Times New Roman"/>
          <w:bCs/>
        </w:rPr>
        <w:t xml:space="preserve">программа </w:t>
      </w:r>
      <w:r w:rsidRPr="00BE193B">
        <w:rPr>
          <w:rFonts w:ascii="Times New Roman" w:hAnsi="Times New Roman"/>
          <w:bCs/>
          <w:lang w:val="en-US"/>
        </w:rPr>
        <w:t>UnvQQ</w:t>
      </w:r>
      <w:r w:rsidRPr="00BE193B">
        <w:rPr>
          <w:rFonts w:ascii="Times New Roman" w:hAnsi="Times New Roman"/>
          <w:bCs/>
        </w:rPr>
        <w:t xml:space="preserve"> (Антонов Е.Ю., Эпов </w:t>
      </w:r>
      <w:r w:rsidRPr="00006E9A">
        <w:rPr>
          <w:rFonts w:ascii="Times New Roman" w:hAnsi="Times New Roman"/>
          <w:bCs/>
        </w:rPr>
        <w:t>М.И.</w:t>
      </w:r>
      <w:r>
        <w:rPr>
          <w:rFonts w:ascii="Times New Roman" w:hAnsi="Times New Roman"/>
          <w:bCs/>
        </w:rPr>
        <w:t>, ИНГГ СО РАН</w:t>
      </w:r>
      <w:r w:rsidRPr="00006E9A">
        <w:rPr>
          <w:rFonts w:ascii="Times New Roman" w:hAnsi="Times New Roman"/>
          <w:bCs/>
        </w:rPr>
        <w:t>), позволяющая</w:t>
      </w:r>
      <w:r w:rsidRPr="00BE193B">
        <w:rPr>
          <w:rFonts w:ascii="Times New Roman" w:hAnsi="Times New Roman"/>
          <w:bCs/>
        </w:rPr>
        <w:t xml:space="preserve"> моделировать нестационарный электромагнитный сигнал в слоисто-однородных проводящих средах.</w:t>
      </w:r>
      <w:r w:rsidRPr="00BE193B">
        <w:rPr>
          <w:rFonts w:ascii="Times New Roman" w:hAnsi="Times New Roman"/>
          <w:bCs/>
          <w:sz w:val="28"/>
          <w:szCs w:val="28"/>
        </w:rPr>
        <w:t xml:space="preserve"> </w:t>
      </w:r>
      <w:r w:rsidRPr="00BE193B">
        <w:rPr>
          <w:rFonts w:ascii="Times New Roman" w:hAnsi="Times New Roman"/>
          <w:bCs/>
        </w:rPr>
        <w:t xml:space="preserve">Сравнение расчётов для слоистых сред для моделей разной сложности показало хорошее совпадение результатов (относительное отклонение </w:t>
      </w:r>
      <w:r>
        <w:rPr>
          <w:rFonts w:ascii="Times New Roman" w:hAnsi="Times New Roman"/>
          <w:bCs/>
        </w:rPr>
        <w:t>не превышает 2</w:t>
      </w:r>
      <w:r w:rsidRPr="00BE193B">
        <w:rPr>
          <w:rFonts w:ascii="Times New Roman" w:hAnsi="Times New Roman"/>
          <w:bCs/>
        </w:rPr>
        <w:t>%)</w:t>
      </w:r>
      <w:r>
        <w:rPr>
          <w:rFonts w:ascii="Times New Roman" w:hAnsi="Times New Roman"/>
          <w:bCs/>
        </w:rPr>
        <w:t>.</w:t>
      </w:r>
    </w:p>
    <w:p w:rsidR="00374311" w:rsidRDefault="00374311" w:rsidP="003B6D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Следующим этапом данной работы было </w:t>
      </w:r>
      <w:r w:rsidRPr="00BE3B26">
        <w:rPr>
          <w:rFonts w:ascii="Times New Roman" w:hAnsi="Times New Roman"/>
          <w:bCs/>
        </w:rPr>
        <w:t>сравнение сигнала</w:t>
      </w:r>
      <w:r>
        <w:rPr>
          <w:rFonts w:ascii="Times New Roman" w:hAnsi="Times New Roman"/>
          <w:bCs/>
        </w:rPr>
        <w:t>,</w:t>
      </w:r>
      <w:r w:rsidRPr="00BE3B26">
        <w:rPr>
          <w:rFonts w:ascii="Times New Roman" w:hAnsi="Times New Roman"/>
          <w:bCs/>
        </w:rPr>
        <w:t xml:space="preserve"> рассчитанного с помощью программы </w:t>
      </w:r>
      <w:r w:rsidRPr="00BE3B26">
        <w:rPr>
          <w:rFonts w:ascii="Times New Roman" w:hAnsi="Times New Roman"/>
          <w:bCs/>
          <w:lang w:val="en-US"/>
        </w:rPr>
        <w:t>MAG</w:t>
      </w:r>
      <w:r w:rsidRPr="00BE3B26">
        <w:rPr>
          <w:rFonts w:ascii="Times New Roman" w:hAnsi="Times New Roman"/>
          <w:bCs/>
        </w:rPr>
        <w:t>3</w:t>
      </w:r>
      <w:r w:rsidRPr="00BE3B26">
        <w:rPr>
          <w:rFonts w:ascii="Times New Roman" w:hAnsi="Times New Roman"/>
          <w:bCs/>
          <w:lang w:val="en-US"/>
        </w:rPr>
        <w:t>D</w:t>
      </w:r>
      <w:r>
        <w:rPr>
          <w:rFonts w:ascii="Times New Roman" w:hAnsi="Times New Roman"/>
          <w:bCs/>
        </w:rPr>
        <w:t>,</w:t>
      </w:r>
      <w:r w:rsidRPr="00BE3B2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с результатами расчётов </w:t>
      </w:r>
      <w:r w:rsidRPr="00BE3B26">
        <w:rPr>
          <w:rFonts w:ascii="Times New Roman" w:hAnsi="Times New Roman"/>
          <w:bCs/>
        </w:rPr>
        <w:t xml:space="preserve">программы </w:t>
      </w:r>
      <w:r w:rsidRPr="00BE3B26">
        <w:rPr>
          <w:rFonts w:ascii="Times New Roman" w:hAnsi="Times New Roman"/>
          <w:bCs/>
          <w:lang w:val="en-US"/>
        </w:rPr>
        <w:t>Modem</w:t>
      </w:r>
      <w:r w:rsidRPr="00BE3B26">
        <w:rPr>
          <w:rFonts w:ascii="Times New Roman" w:hAnsi="Times New Roman"/>
          <w:bCs/>
        </w:rPr>
        <w:t>3</w:t>
      </w:r>
      <w:r w:rsidRPr="00BE3B26">
        <w:rPr>
          <w:rFonts w:ascii="Times New Roman" w:hAnsi="Times New Roman"/>
          <w:bCs/>
          <w:lang w:val="en-US"/>
        </w:rPr>
        <w:t>D</w:t>
      </w:r>
      <w:r>
        <w:rPr>
          <w:rFonts w:ascii="Times New Roman" w:hAnsi="Times New Roman"/>
          <w:bCs/>
        </w:rPr>
        <w:t xml:space="preserve">. В программе </w:t>
      </w:r>
      <w:r w:rsidRPr="00BE3B26">
        <w:rPr>
          <w:rFonts w:ascii="Times New Roman" w:hAnsi="Times New Roman"/>
          <w:bCs/>
          <w:lang w:val="en-US"/>
        </w:rPr>
        <w:t>Modem</w:t>
      </w:r>
      <w:r w:rsidRPr="00BE3B26">
        <w:rPr>
          <w:rFonts w:ascii="Times New Roman" w:hAnsi="Times New Roman"/>
          <w:bCs/>
        </w:rPr>
        <w:t>3</w:t>
      </w:r>
      <w:r w:rsidRPr="00BE3B26">
        <w:rPr>
          <w:rFonts w:ascii="Times New Roman" w:hAnsi="Times New Roman"/>
          <w:bCs/>
          <w:lang w:val="en-US"/>
        </w:rPr>
        <w:t>D</w:t>
      </w:r>
      <w:r>
        <w:rPr>
          <w:rFonts w:ascii="Times New Roman" w:hAnsi="Times New Roman"/>
          <w:bCs/>
        </w:rPr>
        <w:t xml:space="preserve"> (Кремер И.А., Иванов М.И., ЗАО «Центр РИТМ»)</w:t>
      </w:r>
      <w:r w:rsidRPr="00BE3B2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вычислительная </w:t>
      </w:r>
      <w:r w:rsidRPr="00BE3B26">
        <w:rPr>
          <w:rFonts w:ascii="Times New Roman" w:hAnsi="Times New Roman"/>
        </w:rPr>
        <w:t>задача решается векторным методом конечных элементов на неструктурированной тр</w:t>
      </w:r>
      <w:r>
        <w:rPr>
          <w:rFonts w:ascii="Times New Roman" w:hAnsi="Times New Roman"/>
        </w:rPr>
        <w:t>ё</w:t>
      </w:r>
      <w:r w:rsidRPr="00BE3B26">
        <w:rPr>
          <w:rFonts w:ascii="Times New Roman" w:hAnsi="Times New Roman"/>
        </w:rPr>
        <w:t>хмерной тетраэдральной сетке</w:t>
      </w:r>
      <w:r w:rsidRPr="00AC5464">
        <w:rPr>
          <w:rFonts w:ascii="Times New Roman" w:hAnsi="Times New Roman"/>
        </w:rPr>
        <w:t xml:space="preserve">. </w:t>
      </w:r>
      <w:r w:rsidRPr="00AC5464">
        <w:rPr>
          <w:rFonts w:ascii="Times New Roman" w:hAnsi="Times New Roman"/>
          <w:bCs/>
        </w:rPr>
        <w:t xml:space="preserve">Для </w:t>
      </w:r>
      <w:r>
        <w:rPr>
          <w:rFonts w:ascii="Times New Roman" w:hAnsi="Times New Roman"/>
          <w:bCs/>
        </w:rPr>
        <w:t xml:space="preserve">тестовых </w:t>
      </w:r>
      <w:r w:rsidRPr="00AC5464">
        <w:rPr>
          <w:rFonts w:ascii="Times New Roman" w:hAnsi="Times New Roman"/>
          <w:bCs/>
        </w:rPr>
        <w:t>расч</w:t>
      </w:r>
      <w:r>
        <w:rPr>
          <w:rFonts w:ascii="Times New Roman" w:hAnsi="Times New Roman"/>
          <w:bCs/>
        </w:rPr>
        <w:t>ё</w:t>
      </w:r>
      <w:r w:rsidRPr="00AC5464">
        <w:rPr>
          <w:rFonts w:ascii="Times New Roman" w:hAnsi="Times New Roman"/>
          <w:bCs/>
        </w:rPr>
        <w:t>тов использовалась соосная установка с эффективной площадью генераторной петли 10</w:t>
      </w:r>
      <w:r w:rsidRPr="00AC5464">
        <w:rPr>
          <w:rFonts w:ascii="Times New Roman" w:hAnsi="Times New Roman"/>
          <w:bCs/>
          <w:vertAlign w:val="superscript"/>
        </w:rPr>
        <w:t>6</w:t>
      </w:r>
      <w:r w:rsidRPr="00AC5464">
        <w:rPr>
          <w:rFonts w:ascii="Times New Roman" w:hAnsi="Times New Roman"/>
          <w:bCs/>
        </w:rPr>
        <w:t> м</w:t>
      </w:r>
      <w:r w:rsidRPr="00AC5464">
        <w:rPr>
          <w:rFonts w:ascii="Times New Roman" w:hAnsi="Times New Roman"/>
          <w:bCs/>
          <w:vertAlign w:val="superscript"/>
        </w:rPr>
        <w:t>2</w:t>
      </w:r>
      <w:r w:rsidRPr="00AC5464">
        <w:rPr>
          <w:rFonts w:ascii="Times New Roman" w:hAnsi="Times New Roman"/>
          <w:bCs/>
        </w:rPr>
        <w:t xml:space="preserve"> (сторона квадратной петли 1000 м) и </w:t>
      </w:r>
      <w:r>
        <w:rPr>
          <w:rFonts w:ascii="Times New Roman" w:hAnsi="Times New Roman"/>
          <w:bCs/>
        </w:rPr>
        <w:t>приёмной рамкой с единичной площадью.</w:t>
      </w:r>
      <w:r w:rsidRPr="00AC546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 помощью упомянутых программ был обсчитан представительный набор</w:t>
      </w:r>
      <w:r w:rsidRPr="00AC5464">
        <w:rPr>
          <w:rFonts w:ascii="Times New Roman" w:hAnsi="Times New Roman"/>
          <w:bCs/>
        </w:rPr>
        <w:t xml:space="preserve"> моделей, </w:t>
      </w:r>
      <w:r>
        <w:rPr>
          <w:rFonts w:ascii="Times New Roman" w:hAnsi="Times New Roman"/>
          <w:bCs/>
        </w:rPr>
        <w:t>и про</w:t>
      </w:r>
      <w:r>
        <w:rPr>
          <w:rFonts w:ascii="Times New Roman" w:hAnsi="Times New Roman"/>
        </w:rPr>
        <w:t>анализированы</w:t>
      </w:r>
      <w:r w:rsidRPr="00AC5464">
        <w:rPr>
          <w:rFonts w:ascii="Times New Roman" w:hAnsi="Times New Roman"/>
        </w:rPr>
        <w:t xml:space="preserve"> относительная </w:t>
      </w:r>
      <w:r>
        <w:rPr>
          <w:rFonts w:ascii="Times New Roman" w:hAnsi="Times New Roman"/>
        </w:rPr>
        <w:t>отклонения, полученных</w:t>
      </w:r>
      <w:r w:rsidRPr="00AC5464">
        <w:rPr>
          <w:rFonts w:ascii="Times New Roman" w:hAnsi="Times New Roman"/>
        </w:rPr>
        <w:t xml:space="preserve"> кривых становления.</w:t>
      </w:r>
    </w:p>
    <w:p w:rsidR="00374311" w:rsidRDefault="00374311" w:rsidP="0087443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51A39">
        <w:rPr>
          <w:rFonts w:ascii="Times New Roman" w:hAnsi="Times New Roman"/>
          <w:bCs/>
        </w:rPr>
        <w:t xml:space="preserve">Из тестов, выполненных авторами, приведём три наиболее показательных примера. </w:t>
      </w:r>
      <w:r>
        <w:rPr>
          <w:rFonts w:ascii="Times New Roman" w:hAnsi="Times New Roman"/>
          <w:bCs/>
        </w:rPr>
        <w:t>Два</w:t>
      </w:r>
      <w:r w:rsidRPr="00151A39">
        <w:rPr>
          <w:rFonts w:ascii="Times New Roman" w:hAnsi="Times New Roman"/>
          <w:bCs/>
        </w:rPr>
        <w:t xml:space="preserve"> пример</w:t>
      </w:r>
      <w:r>
        <w:rPr>
          <w:rFonts w:ascii="Times New Roman" w:hAnsi="Times New Roman"/>
          <w:bCs/>
        </w:rPr>
        <w:t>а</w:t>
      </w:r>
      <w:r w:rsidRPr="00151A39">
        <w:rPr>
          <w:rFonts w:ascii="Times New Roman" w:hAnsi="Times New Roman"/>
          <w:bCs/>
        </w:rPr>
        <w:t xml:space="preserve"> демонстрируют хорошее совпадение точного и приближенного расчета, </w:t>
      </w:r>
      <w:r>
        <w:rPr>
          <w:rFonts w:ascii="Times New Roman" w:hAnsi="Times New Roman"/>
          <w:bCs/>
        </w:rPr>
        <w:t>один</w:t>
      </w:r>
      <w:r w:rsidRPr="00151A39">
        <w:rPr>
          <w:rFonts w:ascii="Times New Roman" w:hAnsi="Times New Roman"/>
          <w:bCs/>
        </w:rPr>
        <w:t xml:space="preserve"> пример, наоборот, </w:t>
      </w:r>
      <w:r>
        <w:rPr>
          <w:rFonts w:ascii="Times New Roman" w:hAnsi="Times New Roman"/>
          <w:bCs/>
        </w:rPr>
        <w:t>был призван про</w:t>
      </w:r>
      <w:r w:rsidRPr="00151A39">
        <w:rPr>
          <w:rFonts w:ascii="Times New Roman" w:hAnsi="Times New Roman"/>
          <w:bCs/>
        </w:rPr>
        <w:t>демонстрир</w:t>
      </w:r>
      <w:r>
        <w:rPr>
          <w:rFonts w:ascii="Times New Roman" w:hAnsi="Times New Roman"/>
          <w:bCs/>
        </w:rPr>
        <w:t>овать</w:t>
      </w:r>
      <w:r w:rsidRPr="00151A39">
        <w:rPr>
          <w:rFonts w:ascii="Times New Roman" w:hAnsi="Times New Roman"/>
          <w:bCs/>
        </w:rPr>
        <w:t xml:space="preserve"> ограничения борновского приближения</w:t>
      </w:r>
      <w:r>
        <w:rPr>
          <w:rFonts w:ascii="Times New Roman" w:hAnsi="Times New Roman"/>
          <w:bCs/>
        </w:rPr>
        <w:t>,</w:t>
      </w:r>
      <w:r w:rsidRPr="00151A39">
        <w:rPr>
          <w:rFonts w:ascii="Times New Roman" w:hAnsi="Times New Roman"/>
          <w:bCs/>
        </w:rPr>
        <w:t xml:space="preserve"> когда точность </w:t>
      </w:r>
      <w:r>
        <w:rPr>
          <w:rFonts w:ascii="Times New Roman" w:hAnsi="Times New Roman"/>
          <w:bCs/>
        </w:rPr>
        <w:t xml:space="preserve">приближённого </w:t>
      </w:r>
      <w:r w:rsidRPr="00151A39">
        <w:rPr>
          <w:rFonts w:ascii="Times New Roman" w:hAnsi="Times New Roman"/>
          <w:bCs/>
        </w:rPr>
        <w:t>расчёта неприемлема.</w:t>
      </w:r>
      <w:r w:rsidRPr="0087443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Расчётные модели были представлены слоистыми средами, вмещающими трёхмерные объекты в виде параллелепипеда. Центр прямоугольной системы координат приурочен к дневной поверхности и совпадает с центром генераторной петли. Первой моделью</w:t>
      </w:r>
      <w:r w:rsidRPr="00874435">
        <w:rPr>
          <w:rFonts w:ascii="Times New Roman" w:hAnsi="Times New Roman"/>
          <w:bCs/>
        </w:rPr>
        <w:t xml:space="preserve"> для тестирования программы </w:t>
      </w:r>
      <w:r w:rsidRPr="00874435">
        <w:rPr>
          <w:rFonts w:ascii="Times New Roman" w:hAnsi="Times New Roman"/>
          <w:bCs/>
          <w:lang w:val="en-US"/>
        </w:rPr>
        <w:t>MAG</w:t>
      </w:r>
      <w:r w:rsidRPr="00874435">
        <w:rPr>
          <w:rFonts w:ascii="Times New Roman" w:hAnsi="Times New Roman"/>
          <w:bCs/>
        </w:rPr>
        <w:t>3</w:t>
      </w:r>
      <w:r w:rsidRPr="00874435">
        <w:rPr>
          <w:rFonts w:ascii="Times New Roman" w:hAnsi="Times New Roman"/>
          <w:bCs/>
          <w:lang w:val="en-US"/>
        </w:rPr>
        <w:t>D</w:t>
      </w:r>
      <w:r w:rsidRPr="00874435">
        <w:rPr>
          <w:rFonts w:ascii="Times New Roman" w:hAnsi="Times New Roman"/>
          <w:bCs/>
        </w:rPr>
        <w:t xml:space="preserve"> была двухслойная </w:t>
      </w:r>
      <w:r>
        <w:rPr>
          <w:rFonts w:ascii="Times New Roman" w:hAnsi="Times New Roman"/>
          <w:bCs/>
        </w:rPr>
        <w:t>среда</w:t>
      </w:r>
      <w:r w:rsidRPr="0087443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</w:t>
      </w:r>
      <w:r w:rsidRPr="00874435">
        <w:rPr>
          <w:rFonts w:ascii="Times New Roman" w:hAnsi="Times New Roman"/>
        </w:rPr>
        <w:sym w:font="Symbol" w:char="F072"/>
      </w:r>
      <w:r w:rsidRPr="00E23B5B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 </w:t>
      </w:r>
      <w:r w:rsidRPr="00874435">
        <w:rPr>
          <w:rFonts w:ascii="Times New Roman" w:hAnsi="Times New Roman"/>
        </w:rPr>
        <w:t>=</w:t>
      </w:r>
      <w:r>
        <w:rPr>
          <w:rFonts w:ascii="Times New Roman" w:hAnsi="Times New Roman"/>
        </w:rPr>
        <w:t> </w:t>
      </w:r>
      <w:r w:rsidRPr="00874435">
        <w:rPr>
          <w:rFonts w:ascii="Times New Roman" w:hAnsi="Times New Roman"/>
        </w:rPr>
        <w:t>100 Ом</w:t>
      </w:r>
      <w:r w:rsidRPr="00874435">
        <w:rPr>
          <w:rFonts w:ascii="Times New Roman" w:hAnsi="Times New Roman"/>
        </w:rPr>
        <w:sym w:font="Symbol" w:char="F0D7"/>
      </w:r>
      <w:r w:rsidRPr="00874435">
        <w:rPr>
          <w:rFonts w:ascii="Times New Roman" w:hAnsi="Times New Roman"/>
        </w:rPr>
        <w:t xml:space="preserve">м, </w:t>
      </w:r>
      <w:r w:rsidRPr="00874435">
        <w:rPr>
          <w:rFonts w:ascii="Times New Roman" w:hAnsi="Times New Roman"/>
          <w:lang w:val="en-US"/>
        </w:rPr>
        <w:t>h</w:t>
      </w:r>
      <w:r w:rsidRPr="00984D38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 = 1000 </w:t>
      </w:r>
      <w:r w:rsidRPr="00874435">
        <w:rPr>
          <w:rFonts w:ascii="Times New Roman" w:hAnsi="Times New Roman"/>
        </w:rPr>
        <w:t xml:space="preserve">м, </w:t>
      </w:r>
      <w:r w:rsidRPr="00874435">
        <w:rPr>
          <w:rFonts w:ascii="Times New Roman" w:hAnsi="Times New Roman"/>
        </w:rPr>
        <w:sym w:font="Symbol" w:char="F072"/>
      </w:r>
      <w:r w:rsidRPr="00984D38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 = 1000 </w:t>
      </w:r>
      <w:r w:rsidRPr="00874435">
        <w:rPr>
          <w:rFonts w:ascii="Times New Roman" w:hAnsi="Times New Roman"/>
        </w:rPr>
        <w:t>Ом</w:t>
      </w:r>
      <w:r w:rsidRPr="00874435">
        <w:rPr>
          <w:rFonts w:ascii="Times New Roman" w:hAnsi="Times New Roman"/>
        </w:rPr>
        <w:sym w:font="Symbol" w:char="F0D7"/>
      </w:r>
      <w:r w:rsidRPr="00874435">
        <w:rPr>
          <w:rFonts w:ascii="Times New Roman" w:hAnsi="Times New Roman"/>
        </w:rPr>
        <w:t>м</w:t>
      </w:r>
      <w:r>
        <w:rPr>
          <w:rFonts w:ascii="Times New Roman" w:hAnsi="Times New Roman"/>
        </w:rPr>
        <w:t>) с погружённым в неё об</w:t>
      </w:r>
      <w:r w:rsidRPr="00874435">
        <w:rPr>
          <w:rFonts w:ascii="Times New Roman" w:hAnsi="Times New Roman"/>
        </w:rPr>
        <w:t>ъект</w:t>
      </w:r>
      <w:r>
        <w:rPr>
          <w:rFonts w:ascii="Times New Roman" w:hAnsi="Times New Roman"/>
        </w:rPr>
        <w:t>ом</w:t>
      </w:r>
      <w:r w:rsidRPr="008744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удельным </w:t>
      </w:r>
      <w:r w:rsidRPr="00874435">
        <w:rPr>
          <w:rFonts w:ascii="Times New Roman" w:hAnsi="Times New Roman"/>
        </w:rPr>
        <w:t>сопротивление</w:t>
      </w:r>
      <w:r>
        <w:rPr>
          <w:rFonts w:ascii="Times New Roman" w:hAnsi="Times New Roman"/>
        </w:rPr>
        <w:t>м</w:t>
      </w:r>
      <w:r w:rsidRPr="00874435">
        <w:rPr>
          <w:rFonts w:ascii="Times New Roman" w:hAnsi="Times New Roman"/>
        </w:rPr>
        <w:t xml:space="preserve"> 50 Ом</w:t>
      </w:r>
      <w:r w:rsidRPr="00874435">
        <w:rPr>
          <w:rFonts w:ascii="Times New Roman" w:hAnsi="Times New Roman"/>
        </w:rPr>
        <w:sym w:font="Symbol" w:char="F0D7"/>
      </w:r>
      <w:r w:rsidRPr="00874435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и размерами 2000х1500х300 м. Центр параллелепипеда смещен на 500 м по оси </w:t>
      </w: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</w:rPr>
        <w:t>, а верхняя кромка находится на глубине 300 м</w:t>
      </w:r>
      <w:r w:rsidRPr="00874435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Cs/>
        </w:rPr>
        <w:t xml:space="preserve">Расчёт проводился для времен </w:t>
      </w:r>
      <w:r w:rsidRPr="00874435">
        <w:rPr>
          <w:rFonts w:ascii="Times New Roman" w:hAnsi="Times New Roman"/>
        </w:rPr>
        <w:t>от 10</w:t>
      </w:r>
      <w:r w:rsidRPr="00874435">
        <w:rPr>
          <w:rFonts w:ascii="Times New Roman" w:hAnsi="Times New Roman"/>
          <w:vertAlign w:val="superscript"/>
        </w:rPr>
        <w:t>-5</w:t>
      </w:r>
      <w:r w:rsidRPr="00874435">
        <w:rPr>
          <w:rFonts w:ascii="Times New Roman" w:hAnsi="Times New Roman"/>
        </w:rPr>
        <w:t xml:space="preserve"> до 0,1 сек.</w:t>
      </w:r>
    </w:p>
    <w:p w:rsidR="00374311" w:rsidRDefault="00374311" w:rsidP="009738E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сопоставления расчётов программами </w:t>
      </w:r>
      <w:r w:rsidRPr="00554BA6">
        <w:rPr>
          <w:rFonts w:ascii="Times New Roman" w:hAnsi="Times New Roman"/>
          <w:lang w:val="en-US"/>
        </w:rPr>
        <w:t>Modem</w:t>
      </w:r>
      <w:r w:rsidRPr="00554BA6">
        <w:rPr>
          <w:rFonts w:ascii="Times New Roman" w:hAnsi="Times New Roman"/>
        </w:rPr>
        <w:t>3</w:t>
      </w:r>
      <w:r w:rsidRPr="00554BA6">
        <w:rPr>
          <w:rFonts w:ascii="Times New Roman" w:hAnsi="Times New Roman"/>
          <w:lang w:val="en-US"/>
        </w:rPr>
        <w:t>D</w:t>
      </w:r>
      <w:r w:rsidRPr="00554BA6">
        <w:rPr>
          <w:rFonts w:ascii="Times New Roman" w:hAnsi="Times New Roman"/>
        </w:rPr>
        <w:t xml:space="preserve"> и </w:t>
      </w:r>
      <w:r w:rsidRPr="00554BA6">
        <w:rPr>
          <w:rFonts w:ascii="Times New Roman" w:hAnsi="Times New Roman"/>
          <w:lang w:val="en-US"/>
        </w:rPr>
        <w:t>MAG</w:t>
      </w:r>
      <w:r w:rsidRPr="00554BA6">
        <w:rPr>
          <w:rFonts w:ascii="Times New Roman" w:hAnsi="Times New Roman"/>
        </w:rPr>
        <w:t>3</w:t>
      </w:r>
      <w:r w:rsidRPr="00554BA6">
        <w:rPr>
          <w:rFonts w:ascii="Times New Roman" w:hAnsi="Times New Roman"/>
          <w:lang w:val="en-US"/>
        </w:rPr>
        <w:t>D</w:t>
      </w:r>
      <w:r w:rsidRPr="00554B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представлены на рис. 1б в виде графиков относительных отклонений.</w:t>
      </w:r>
      <w:r w:rsidRPr="00554B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Сплошная линия – </w:t>
      </w:r>
      <w:r w:rsidRPr="00554BA6">
        <w:rPr>
          <w:rFonts w:ascii="Times New Roman" w:hAnsi="Times New Roman"/>
        </w:rPr>
        <w:t xml:space="preserve">относительное отклонение </w:t>
      </w:r>
      <w:r>
        <w:rPr>
          <w:rFonts w:ascii="Times New Roman" w:hAnsi="Times New Roman"/>
        </w:rPr>
        <w:t xml:space="preserve">вычисленных сигналов </w:t>
      </w:r>
      <w:r w:rsidRPr="00554BA6">
        <w:rPr>
          <w:rFonts w:ascii="Times New Roman" w:hAnsi="Times New Roman"/>
        </w:rPr>
        <w:t>для случая</w:t>
      </w:r>
      <w:r w:rsidRPr="00FD4F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референтной</w:t>
      </w:r>
      <w:r w:rsidRPr="00554BA6">
        <w:rPr>
          <w:rFonts w:ascii="Times New Roman" w:hAnsi="Times New Roman"/>
        </w:rPr>
        <w:t xml:space="preserve"> горизонтально-слоистой среды (без возмущения).</w:t>
      </w:r>
      <w:r w:rsidRPr="000A6292">
        <w:rPr>
          <w:rFonts w:ascii="Times New Roman" w:hAnsi="Times New Roman"/>
        </w:rPr>
        <w:t xml:space="preserve"> </w:t>
      </w:r>
      <w:r w:rsidRPr="00554BA6">
        <w:rPr>
          <w:rFonts w:ascii="Times New Roman" w:hAnsi="Times New Roman"/>
        </w:rPr>
        <w:t>В этом случае кривые становления совпадают с точностью в 2% (сплошная кривая, рис. 1б).</w:t>
      </w:r>
      <w:r>
        <w:rPr>
          <w:rFonts w:ascii="Times New Roman" w:hAnsi="Times New Roman"/>
        </w:rPr>
        <w:t xml:space="preserve"> Точечная кривая – относительное отклонение сигналов, рассчитанных для трехмерных (возмущенных) сред, достигает 6% для модели №1. Пунктирная кривая – возмущение, возникающее в результате введения трехмерного объекта (сравнение расчета для трехмерной среды и горизонтально-слоистой). В данном примере возмущение достигает 25% (рис. 1б). </w:t>
      </w:r>
      <w:r w:rsidRPr="00554BA6">
        <w:rPr>
          <w:rFonts w:ascii="Times New Roman" w:hAnsi="Times New Roman"/>
        </w:rPr>
        <w:t xml:space="preserve">Поэтому </w:t>
      </w:r>
      <w:r>
        <w:rPr>
          <w:rFonts w:ascii="Times New Roman" w:hAnsi="Times New Roman"/>
        </w:rPr>
        <w:t>р</w:t>
      </w:r>
      <w:r w:rsidRPr="00554BA6">
        <w:rPr>
          <w:rFonts w:ascii="Times New Roman" w:hAnsi="Times New Roman"/>
        </w:rPr>
        <w:t>асч</w:t>
      </w:r>
      <w:r>
        <w:rPr>
          <w:rFonts w:ascii="Times New Roman" w:hAnsi="Times New Roman"/>
        </w:rPr>
        <w:t>ё</w:t>
      </w:r>
      <w:r w:rsidRPr="00554BA6">
        <w:rPr>
          <w:rFonts w:ascii="Times New Roman" w:hAnsi="Times New Roman"/>
        </w:rPr>
        <w:t xml:space="preserve">т нестационарного сигнала </w:t>
      </w:r>
      <w:r>
        <w:rPr>
          <w:rFonts w:ascii="Times New Roman" w:hAnsi="Times New Roman"/>
        </w:rPr>
        <w:t xml:space="preserve">для трехмерной модели  №1 </w:t>
      </w:r>
      <w:r w:rsidRPr="00554BA6">
        <w:rPr>
          <w:rFonts w:ascii="Times New Roman" w:hAnsi="Times New Roman"/>
        </w:rPr>
        <w:t xml:space="preserve">с помощью программы </w:t>
      </w:r>
      <w:r w:rsidRPr="00554BA6">
        <w:rPr>
          <w:rFonts w:ascii="Times New Roman" w:hAnsi="Times New Roman"/>
          <w:lang w:val="en-US"/>
        </w:rPr>
        <w:t>MAG</w:t>
      </w:r>
      <w:r w:rsidRPr="00554BA6">
        <w:rPr>
          <w:rFonts w:ascii="Times New Roman" w:hAnsi="Times New Roman"/>
        </w:rPr>
        <w:t>3</w:t>
      </w:r>
      <w:r w:rsidRPr="00554BA6"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(реализация</w:t>
      </w:r>
      <w:r w:rsidRPr="00554BA6">
        <w:rPr>
          <w:rFonts w:ascii="Times New Roman" w:hAnsi="Times New Roman"/>
        </w:rPr>
        <w:t xml:space="preserve"> борновско</w:t>
      </w:r>
      <w:r>
        <w:rPr>
          <w:rFonts w:ascii="Times New Roman" w:hAnsi="Times New Roman"/>
        </w:rPr>
        <w:t>го</w:t>
      </w:r>
      <w:r w:rsidRPr="00554BA6">
        <w:rPr>
          <w:rFonts w:ascii="Times New Roman" w:hAnsi="Times New Roman"/>
        </w:rPr>
        <w:t xml:space="preserve"> разложении по малому параметру</w:t>
      </w:r>
      <w:r>
        <w:rPr>
          <w:rFonts w:ascii="Times New Roman" w:hAnsi="Times New Roman"/>
        </w:rPr>
        <w:t>)</w:t>
      </w:r>
      <w:r w:rsidRPr="00554BA6">
        <w:rPr>
          <w:rFonts w:ascii="Times New Roman" w:hAnsi="Times New Roman"/>
        </w:rPr>
        <w:t>, можно считать удовлетворительным.</w:t>
      </w:r>
    </w:p>
    <w:p w:rsidR="00374311" w:rsidRDefault="00C6760A" w:rsidP="00150334">
      <w:pPr>
        <w:keepNext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62201" cy="2250000"/>
            <wp:effectExtent l="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01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11" w:rsidRPr="008B4CCC" w:rsidRDefault="00374311" w:rsidP="008B4CCC">
      <w:pPr>
        <w:spacing w:after="0" w:line="240" w:lineRule="auto"/>
        <w:jc w:val="center"/>
        <w:rPr>
          <w:rFonts w:ascii="Times New Roman" w:hAnsi="Times New Roman"/>
        </w:rPr>
      </w:pPr>
      <w:r w:rsidRPr="008B4CCC">
        <w:rPr>
          <w:rFonts w:ascii="Times New Roman" w:hAnsi="Times New Roman"/>
        </w:rPr>
        <w:t xml:space="preserve">Рисунок </w:t>
      </w:r>
      <w:r w:rsidRPr="008B4CCC">
        <w:rPr>
          <w:rFonts w:ascii="Times New Roman" w:hAnsi="Times New Roman"/>
        </w:rPr>
        <w:fldChar w:fldCharType="begin"/>
      </w:r>
      <w:r w:rsidRPr="008B4CCC">
        <w:rPr>
          <w:rFonts w:ascii="Times New Roman" w:hAnsi="Times New Roman"/>
        </w:rPr>
        <w:instrText xml:space="preserve"> SEQ Рисунок \* ARABIC </w:instrText>
      </w:r>
      <w:r w:rsidRPr="008B4CCC">
        <w:rPr>
          <w:rFonts w:ascii="Times New Roman" w:hAnsi="Times New Roman"/>
        </w:rPr>
        <w:fldChar w:fldCharType="separate"/>
      </w:r>
      <w:r w:rsidRPr="008B4CCC">
        <w:rPr>
          <w:rFonts w:ascii="Times New Roman" w:hAnsi="Times New Roman"/>
        </w:rPr>
        <w:t>1</w:t>
      </w:r>
      <w:r w:rsidRPr="008B4CCC">
        <w:rPr>
          <w:rFonts w:ascii="Times New Roman" w:hAnsi="Times New Roman"/>
        </w:rPr>
        <w:fldChar w:fldCharType="end"/>
      </w:r>
      <w:r w:rsidRPr="008B4CCC">
        <w:rPr>
          <w:rFonts w:ascii="Times New Roman" w:hAnsi="Times New Roman"/>
        </w:rPr>
        <w:t xml:space="preserve"> (а) Модель</w:t>
      </w:r>
      <w:r>
        <w:rPr>
          <w:rFonts w:ascii="Times New Roman" w:hAnsi="Times New Roman"/>
        </w:rPr>
        <w:t> №</w:t>
      </w:r>
      <w:r w:rsidRPr="008B4CCC">
        <w:rPr>
          <w:rFonts w:ascii="Times New Roman" w:hAnsi="Times New Roman"/>
        </w:rPr>
        <w:t>1 и схема установки; (б) относительное отклонение сигналов рассчитанных в программах MAG3D и Modem3D</w:t>
      </w:r>
      <w:r>
        <w:rPr>
          <w:rFonts w:ascii="Times New Roman" w:hAnsi="Times New Roman"/>
        </w:rPr>
        <w:t xml:space="preserve"> для модели №1</w:t>
      </w:r>
    </w:p>
    <w:p w:rsidR="00374311" w:rsidRDefault="00374311" w:rsidP="003E6D3E">
      <w:pPr>
        <w:spacing w:after="0" w:line="240" w:lineRule="auto"/>
        <w:jc w:val="center"/>
        <w:rPr>
          <w:rFonts w:ascii="Times New Roman" w:hAnsi="Times New Roman"/>
        </w:rPr>
      </w:pPr>
    </w:p>
    <w:p w:rsidR="00374311" w:rsidRDefault="00374311" w:rsidP="00EF371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Модель №2 отличается от первой тем, что трёхмерный объект смещен относительно измерительной установки на 1500 м по оси </w:t>
      </w: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</w:rPr>
        <w:t xml:space="preserve"> (рис. 2а). Расхождение результатов расчётов для горизонтально-слоистых сред, не превышает 2% (сплошная кривая, рис. 2б).</w:t>
      </w:r>
      <w:r w:rsidRPr="00FA6A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После добавления в среду трёхмерного объекта рассчитанные сигналы расходятся не более чем на 3% (точечная кривая, рис. 2б). Это вызвано снижением аномального отклика, который вызывает в данном случае более удалённый от установки трёхмерный объект (12% вместо 25%; рис. 2б, пунктирная кривая).</w:t>
      </w:r>
    </w:p>
    <w:p w:rsidR="00374311" w:rsidRDefault="00374311" w:rsidP="003E6D3E">
      <w:pPr>
        <w:spacing w:after="0" w:line="240" w:lineRule="auto"/>
        <w:jc w:val="center"/>
        <w:rPr>
          <w:rFonts w:ascii="Times New Roman" w:hAnsi="Times New Roman"/>
        </w:rPr>
      </w:pPr>
    </w:p>
    <w:p w:rsidR="00374311" w:rsidRDefault="00C6760A" w:rsidP="00006C2E">
      <w:pPr>
        <w:keepNext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862201" cy="2250000"/>
            <wp:effectExtent l="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01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11" w:rsidRDefault="00374311" w:rsidP="00006C2E">
      <w:pPr>
        <w:pStyle w:val="a4"/>
        <w:spacing w:after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ED6F59">
        <w:rPr>
          <w:rFonts w:ascii="Times New Roman" w:hAnsi="Times New Roman"/>
          <w:b w:val="0"/>
          <w:color w:val="auto"/>
          <w:sz w:val="22"/>
          <w:szCs w:val="22"/>
        </w:rPr>
        <w:t xml:space="preserve">Рисунок </w:t>
      </w:r>
      <w:r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Pr="00ED6F59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452B6A">
        <w:rPr>
          <w:rFonts w:ascii="Times New Roman" w:hAnsi="Times New Roman"/>
          <w:b w:val="0"/>
          <w:color w:val="auto"/>
          <w:sz w:val="22"/>
          <w:szCs w:val="22"/>
        </w:rPr>
        <w:t>(а) Модель №</w:t>
      </w:r>
      <w:r>
        <w:rPr>
          <w:rFonts w:ascii="Times New Roman" w:hAnsi="Times New Roman"/>
          <w:b w:val="0"/>
          <w:color w:val="auto"/>
          <w:sz w:val="22"/>
          <w:szCs w:val="22"/>
        </w:rPr>
        <w:t>2</w:t>
      </w:r>
      <w:r w:rsidRPr="00452B6A">
        <w:rPr>
          <w:rFonts w:ascii="Times New Roman" w:hAnsi="Times New Roman"/>
          <w:b w:val="0"/>
          <w:color w:val="auto"/>
          <w:sz w:val="22"/>
          <w:szCs w:val="22"/>
        </w:rPr>
        <w:t xml:space="preserve"> и схема установки; (б) относительное отклонение сигналов рассчитанных в программах MAG3D и Modem3D для модели №</w:t>
      </w:r>
      <w:r>
        <w:rPr>
          <w:rFonts w:ascii="Times New Roman" w:hAnsi="Times New Roman"/>
          <w:b w:val="0"/>
          <w:color w:val="auto"/>
          <w:sz w:val="22"/>
          <w:szCs w:val="22"/>
        </w:rPr>
        <w:t>2</w:t>
      </w:r>
    </w:p>
    <w:p w:rsidR="00374311" w:rsidRDefault="00374311" w:rsidP="003E6D3E">
      <w:pPr>
        <w:spacing w:after="0" w:line="240" w:lineRule="auto"/>
        <w:jc w:val="center"/>
        <w:rPr>
          <w:rFonts w:ascii="Times New Roman" w:hAnsi="Times New Roman"/>
        </w:rPr>
      </w:pPr>
    </w:p>
    <w:p w:rsidR="00374311" w:rsidRDefault="00374311" w:rsidP="00EB49B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качестве модели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 xml:space="preserve">№3 для тестирования программы </w:t>
      </w:r>
      <w:r>
        <w:rPr>
          <w:rFonts w:ascii="Times New Roman" w:hAnsi="Times New Roman"/>
          <w:lang w:val="en-US"/>
        </w:rPr>
        <w:t>MAG</w:t>
      </w:r>
      <w:r w:rsidRPr="002F2BC0">
        <w:rPr>
          <w:rFonts w:ascii="Times New Roman" w:hAnsi="Times New Roman"/>
        </w:rPr>
        <w:t>3</w:t>
      </w:r>
      <w:r>
        <w:rPr>
          <w:rFonts w:ascii="Times New Roman" w:hAnsi="Times New Roman"/>
          <w:lang w:val="en-US"/>
        </w:rPr>
        <w:t>D</w:t>
      </w:r>
      <w:r w:rsidRPr="002F2B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была взята шестислойная среда, параметры которой представлены в таблице №1, объект помещается в </w:t>
      </w:r>
      <w:r w:rsidRPr="00F654EF">
        <w:rPr>
          <w:rFonts w:ascii="Times New Roman" w:hAnsi="Times New Roman"/>
        </w:rPr>
        <w:t>пятом слое.</w:t>
      </w:r>
      <w:r>
        <w:rPr>
          <w:rFonts w:ascii="Times New Roman" w:hAnsi="Times New Roman"/>
        </w:rPr>
        <w:t xml:space="preserve"> Сопротивление объекта 10 </w:t>
      </w:r>
      <w:r w:rsidRPr="00874435">
        <w:rPr>
          <w:rFonts w:ascii="Times New Roman" w:hAnsi="Times New Roman"/>
        </w:rPr>
        <w:t>Ом</w:t>
      </w:r>
      <w:r w:rsidRPr="00874435">
        <w:rPr>
          <w:rFonts w:ascii="Times New Roman" w:hAnsi="Times New Roman"/>
        </w:rPr>
        <w:sym w:font="Symbol" w:char="F0D7"/>
      </w:r>
      <w:r w:rsidRPr="00874435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, размеры 5000х5000х200 м, а глубина залегания верхней кромки 2350 м (Рис. 3а). То есть, в отличие от двух первых примеров контраст сопротивления объекта относительно вмещающей среды существенно </w:t>
      </w:r>
      <w:proofErr w:type="gramStart"/>
      <w:r>
        <w:rPr>
          <w:rFonts w:ascii="Times New Roman" w:hAnsi="Times New Roman"/>
        </w:rPr>
        <w:t>больше</w:t>
      </w:r>
      <w:proofErr w:type="gramEnd"/>
      <w:r>
        <w:rPr>
          <w:rFonts w:ascii="Times New Roman" w:hAnsi="Times New Roman"/>
        </w:rPr>
        <w:t xml:space="preserve"> чем в моделях 1 и 2 (10 </w:t>
      </w:r>
      <w:r w:rsidRPr="00874435">
        <w:rPr>
          <w:rFonts w:ascii="Times New Roman" w:hAnsi="Times New Roman"/>
        </w:rPr>
        <w:t>Ом</w:t>
      </w:r>
      <w:r w:rsidRPr="00874435">
        <w:rPr>
          <w:rFonts w:ascii="Times New Roman" w:hAnsi="Times New Roman"/>
        </w:rPr>
        <w:sym w:font="Symbol" w:char="F0D7"/>
      </w:r>
      <w:r w:rsidRPr="00874435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и 200 </w:t>
      </w:r>
      <w:r w:rsidRPr="00874435">
        <w:rPr>
          <w:rFonts w:ascii="Times New Roman" w:hAnsi="Times New Roman"/>
        </w:rPr>
        <w:t>Ом</w:t>
      </w:r>
      <w:r w:rsidRPr="00874435">
        <w:rPr>
          <w:rFonts w:ascii="Times New Roman" w:hAnsi="Times New Roman"/>
        </w:rPr>
        <w:sym w:font="Symbol" w:char="F0D7"/>
      </w:r>
      <w:r w:rsidRPr="00874435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вместо 50 </w:t>
      </w:r>
      <w:r w:rsidRPr="00874435">
        <w:rPr>
          <w:rFonts w:ascii="Times New Roman" w:hAnsi="Times New Roman"/>
        </w:rPr>
        <w:t>Ом</w:t>
      </w:r>
      <w:r w:rsidRPr="00874435">
        <w:rPr>
          <w:rFonts w:ascii="Times New Roman" w:hAnsi="Times New Roman"/>
        </w:rPr>
        <w:sym w:font="Symbol" w:char="F0D7"/>
      </w:r>
      <w:r w:rsidRPr="00874435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и 100 </w:t>
      </w:r>
      <w:r w:rsidRPr="00874435">
        <w:rPr>
          <w:rFonts w:ascii="Times New Roman" w:hAnsi="Times New Roman"/>
        </w:rPr>
        <w:t>Ом</w:t>
      </w:r>
      <w:r w:rsidRPr="00874435">
        <w:rPr>
          <w:rFonts w:ascii="Times New Roman" w:hAnsi="Times New Roman"/>
        </w:rPr>
        <w:sym w:font="Symbol" w:char="F0D7"/>
      </w:r>
      <w:r w:rsidRPr="00874435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) и залегает он намного глубже (2350 м вместо 500 м). </w:t>
      </w:r>
      <w:r w:rsidR="0056239C">
        <w:rPr>
          <w:rFonts w:ascii="Times New Roman" w:hAnsi="Times New Roman"/>
        </w:rPr>
        <w:t>Р</w:t>
      </w:r>
      <w:r>
        <w:rPr>
          <w:rFonts w:ascii="Times New Roman" w:hAnsi="Times New Roman"/>
          <w:bCs/>
        </w:rPr>
        <w:t xml:space="preserve">асчёт </w:t>
      </w:r>
      <w:proofErr w:type="gramStart"/>
      <w:r>
        <w:rPr>
          <w:rFonts w:ascii="Times New Roman" w:hAnsi="Times New Roman"/>
          <w:bCs/>
        </w:rPr>
        <w:t xml:space="preserve">проводился для времён </w:t>
      </w:r>
      <w:r w:rsidRPr="00874435">
        <w:rPr>
          <w:rFonts w:ascii="Times New Roman" w:hAnsi="Times New Roman"/>
        </w:rPr>
        <w:t>от 10</w:t>
      </w:r>
      <w:r w:rsidRPr="00874435">
        <w:rPr>
          <w:rFonts w:ascii="Times New Roman" w:hAnsi="Times New Roman"/>
          <w:vertAlign w:val="superscript"/>
        </w:rPr>
        <w:t>-5</w:t>
      </w:r>
      <w:r>
        <w:rPr>
          <w:rFonts w:ascii="Times New Roman" w:hAnsi="Times New Roman"/>
        </w:rPr>
        <w:t xml:space="preserve"> до 1 сек</w:t>
      </w:r>
      <w:proofErr w:type="gramEnd"/>
      <w:r>
        <w:rPr>
          <w:rFonts w:ascii="Times New Roman" w:hAnsi="Times New Roman"/>
        </w:rPr>
        <w:t>, так как максимум амплитуды</w:t>
      </w:r>
      <w:r w:rsidR="0056239C">
        <w:rPr>
          <w:rFonts w:ascii="Times New Roman" w:hAnsi="Times New Roman"/>
        </w:rPr>
        <w:t xml:space="preserve"> аномального</w:t>
      </w:r>
      <w:r w:rsidR="00C6760A">
        <w:rPr>
          <w:rFonts w:ascii="Times New Roman" w:hAnsi="Times New Roman"/>
        </w:rPr>
        <w:t xml:space="preserve"> </w:t>
      </w:r>
      <w:r w:rsidR="0056239C">
        <w:rPr>
          <w:rFonts w:ascii="Times New Roman" w:hAnsi="Times New Roman"/>
        </w:rPr>
        <w:t>отклика</w:t>
      </w:r>
      <w:r w:rsidR="00C6760A">
        <w:rPr>
          <w:rFonts w:ascii="Times New Roman" w:hAnsi="Times New Roman"/>
        </w:rPr>
        <w:t xml:space="preserve"> </w:t>
      </w:r>
      <w:r w:rsidR="0056239C">
        <w:rPr>
          <w:rFonts w:ascii="Times New Roman" w:hAnsi="Times New Roman"/>
        </w:rPr>
        <w:t xml:space="preserve">сдвигается </w:t>
      </w:r>
      <w:r w:rsidR="00C6760A">
        <w:rPr>
          <w:rFonts w:ascii="Times New Roman" w:hAnsi="Times New Roman"/>
        </w:rPr>
        <w:t>в более позднюю</w:t>
      </w:r>
      <w:r>
        <w:rPr>
          <w:rFonts w:ascii="Times New Roman" w:hAnsi="Times New Roman"/>
        </w:rPr>
        <w:t xml:space="preserve"> </w:t>
      </w:r>
      <w:r w:rsidR="00C6760A">
        <w:rPr>
          <w:rFonts w:ascii="Times New Roman" w:hAnsi="Times New Roman"/>
        </w:rPr>
        <w:t>область</w:t>
      </w:r>
      <w:r>
        <w:rPr>
          <w:rFonts w:ascii="Times New Roman" w:hAnsi="Times New Roman"/>
        </w:rPr>
        <w:t>.</w:t>
      </w:r>
    </w:p>
    <w:p w:rsidR="00EB49BD" w:rsidRDefault="00EB49BD" w:rsidP="00EB49BD">
      <w:pPr>
        <w:spacing w:after="0" w:line="240" w:lineRule="auto"/>
        <w:jc w:val="center"/>
        <w:rPr>
          <w:rFonts w:ascii="Times New Roman" w:hAnsi="Times New Roman"/>
        </w:rPr>
      </w:pPr>
    </w:p>
    <w:p w:rsidR="00374311" w:rsidRPr="002F2BC0" w:rsidRDefault="00374311" w:rsidP="00FA6A6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Таблица 1 Параметризация вмещающей среды для модели №3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1800"/>
        <w:gridCol w:w="1800"/>
        <w:gridCol w:w="1440"/>
      </w:tblGrid>
      <w:tr w:rsidR="00374311" w:rsidRPr="001A1265" w:rsidTr="0075633E">
        <w:trPr>
          <w:jc w:val="center"/>
        </w:trPr>
        <w:tc>
          <w:tcPr>
            <w:tcW w:w="693" w:type="dxa"/>
          </w:tcPr>
          <w:p w:rsidR="00374311" w:rsidRPr="00A14937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0518">
              <w:rPr>
                <w:rFonts w:ascii="Times New Roman" w:hAnsi="Times New Roman"/>
                <w:lang w:val="en-US"/>
              </w:rPr>
              <w:t>Rho</w:t>
            </w:r>
            <w:r w:rsidRPr="00B50518">
              <w:rPr>
                <w:rFonts w:ascii="Times New Roman" w:hAnsi="Times New Roman"/>
              </w:rPr>
              <w:t>, Омм</w:t>
            </w:r>
          </w:p>
        </w:tc>
        <w:tc>
          <w:tcPr>
            <w:tcW w:w="180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  <w:lang w:val="en-US"/>
              </w:rPr>
              <w:t>H</w:t>
            </w:r>
            <w:r w:rsidRPr="00B50518">
              <w:rPr>
                <w:rFonts w:ascii="Times New Roman" w:hAnsi="Times New Roman"/>
              </w:rPr>
              <w:t>, м</w:t>
            </w:r>
          </w:p>
        </w:tc>
        <w:tc>
          <w:tcPr>
            <w:tcW w:w="144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  <w:lang w:val="en-US"/>
              </w:rPr>
              <w:t>Z</w:t>
            </w:r>
            <w:r w:rsidRPr="00B50518">
              <w:rPr>
                <w:rFonts w:ascii="Times New Roman" w:hAnsi="Times New Roman"/>
              </w:rPr>
              <w:t>, м</w:t>
            </w:r>
          </w:p>
        </w:tc>
      </w:tr>
      <w:tr w:rsidR="00374311" w:rsidRPr="001A1265" w:rsidTr="0075633E">
        <w:trPr>
          <w:jc w:val="center"/>
        </w:trPr>
        <w:tc>
          <w:tcPr>
            <w:tcW w:w="693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50</w:t>
            </w:r>
          </w:p>
        </w:tc>
        <w:tc>
          <w:tcPr>
            <w:tcW w:w="180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100</w:t>
            </w:r>
          </w:p>
        </w:tc>
      </w:tr>
      <w:tr w:rsidR="00374311" w:rsidRPr="001A1265" w:rsidTr="0075633E">
        <w:trPr>
          <w:jc w:val="center"/>
        </w:trPr>
        <w:tc>
          <w:tcPr>
            <w:tcW w:w="693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20</w:t>
            </w:r>
          </w:p>
        </w:tc>
        <w:tc>
          <w:tcPr>
            <w:tcW w:w="180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200</w:t>
            </w:r>
          </w:p>
        </w:tc>
        <w:tc>
          <w:tcPr>
            <w:tcW w:w="144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300</w:t>
            </w:r>
          </w:p>
        </w:tc>
      </w:tr>
      <w:tr w:rsidR="00374311" w:rsidRPr="001A1265" w:rsidTr="0075633E">
        <w:trPr>
          <w:jc w:val="center"/>
        </w:trPr>
        <w:tc>
          <w:tcPr>
            <w:tcW w:w="693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500</w:t>
            </w:r>
          </w:p>
        </w:tc>
        <w:tc>
          <w:tcPr>
            <w:tcW w:w="180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1950</w:t>
            </w:r>
          </w:p>
        </w:tc>
        <w:tc>
          <w:tcPr>
            <w:tcW w:w="144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2250</w:t>
            </w:r>
          </w:p>
        </w:tc>
      </w:tr>
      <w:tr w:rsidR="00374311" w:rsidRPr="001A1265" w:rsidTr="0075633E">
        <w:trPr>
          <w:jc w:val="center"/>
        </w:trPr>
        <w:tc>
          <w:tcPr>
            <w:tcW w:w="693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150</w:t>
            </w:r>
          </w:p>
        </w:tc>
        <w:tc>
          <w:tcPr>
            <w:tcW w:w="180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2350</w:t>
            </w:r>
          </w:p>
        </w:tc>
      </w:tr>
      <w:tr w:rsidR="00374311" w:rsidRPr="001A1265" w:rsidTr="0075633E">
        <w:trPr>
          <w:jc w:val="center"/>
        </w:trPr>
        <w:tc>
          <w:tcPr>
            <w:tcW w:w="693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200</w:t>
            </w:r>
          </w:p>
        </w:tc>
        <w:tc>
          <w:tcPr>
            <w:tcW w:w="180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550</w:t>
            </w:r>
          </w:p>
        </w:tc>
        <w:tc>
          <w:tcPr>
            <w:tcW w:w="144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2900</w:t>
            </w:r>
          </w:p>
        </w:tc>
      </w:tr>
      <w:tr w:rsidR="00374311" w:rsidRPr="001A1265" w:rsidTr="0075633E">
        <w:trPr>
          <w:jc w:val="center"/>
        </w:trPr>
        <w:tc>
          <w:tcPr>
            <w:tcW w:w="693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518">
              <w:rPr>
                <w:rFonts w:ascii="Times New Roman" w:hAnsi="Times New Roman"/>
              </w:rPr>
              <w:t>1000</w:t>
            </w:r>
          </w:p>
        </w:tc>
        <w:tc>
          <w:tcPr>
            <w:tcW w:w="180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74311" w:rsidRPr="00B50518" w:rsidRDefault="00374311" w:rsidP="00756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4311" w:rsidRDefault="00374311" w:rsidP="00EF371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Сравнение результатов осуществлялось также как и в первых двух случаях. Относительное отклонение сигналов в слоистой среде (рис. 3б, слошная кривая) на поздних временах (больше 0,1 сек) составляет 4%. Однако, сигнал на этих временах достаточно мал для практического измерения. Поэтому будем принимать во внимание времена менее 0,1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секунды, где рассчитанные сигналы совпадают с точностью 2%.</w:t>
      </w:r>
      <w:r w:rsidRPr="00EF3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таком интервале времен относительное отклонение сигналов рассчитанных для трёхмерной среды не превышает 10% (рис. 2б, точечная кривая), а отклонение вызванное введением трёхмерного объекта составило 20% (рис. 2б, пунктирная кривая). Таким образом, этот пример можно считать неудачным, так как ошибка, возникающая в результате расчётов, и возмущение, вызванное трёхмерным объектом, – это сравнимые величины. Возникшая ситуация объясняется тем, что в высококонтрастных средах приближённые вычисления дают большие ошибки вычисления </w:t>
      </w:r>
      <w:r w:rsidRPr="00922A09">
        <w:rPr>
          <w:rFonts w:ascii="Times New Roman" w:hAnsi="Times New Roman"/>
        </w:rPr>
        <w:t>[</w:t>
      </w:r>
      <w:r w:rsidRPr="005C38C1">
        <w:rPr>
          <w:rFonts w:ascii="Times New Roman" w:hAnsi="Times New Roman"/>
        </w:rPr>
        <w:t>2</w:t>
      </w:r>
      <w:r w:rsidRPr="00922A09">
        <w:rPr>
          <w:rFonts w:ascii="Times New Roman" w:hAnsi="Times New Roman"/>
        </w:rPr>
        <w:t>]</w:t>
      </w:r>
      <w:r>
        <w:rPr>
          <w:rFonts w:ascii="Times New Roman" w:hAnsi="Times New Roman"/>
        </w:rPr>
        <w:t>. Пример показателен тем, что иллюстрирует ситуацию</w:t>
      </w:r>
      <w:r>
        <w:rPr>
          <w:rFonts w:ascii="Times New Roman" w:hAnsi="Times New Roman"/>
          <w:bCs/>
        </w:rPr>
        <w:t>,</w:t>
      </w:r>
      <w:r w:rsidRPr="00151A39">
        <w:rPr>
          <w:rFonts w:ascii="Times New Roman" w:hAnsi="Times New Roman"/>
          <w:bCs/>
        </w:rPr>
        <w:t xml:space="preserve"> когда точность </w:t>
      </w:r>
      <w:r>
        <w:rPr>
          <w:rFonts w:ascii="Times New Roman" w:hAnsi="Times New Roman"/>
          <w:bCs/>
        </w:rPr>
        <w:t xml:space="preserve">приближённого </w:t>
      </w:r>
      <w:r w:rsidRPr="00151A39">
        <w:rPr>
          <w:rFonts w:ascii="Times New Roman" w:hAnsi="Times New Roman"/>
          <w:bCs/>
        </w:rPr>
        <w:t>расчёта неприемлема</w:t>
      </w:r>
      <w:r>
        <w:rPr>
          <w:rFonts w:ascii="Times New Roman" w:hAnsi="Times New Roman"/>
          <w:bCs/>
        </w:rPr>
        <w:t xml:space="preserve">, а </w:t>
      </w:r>
      <w:r>
        <w:rPr>
          <w:rFonts w:ascii="Times New Roman" w:hAnsi="Times New Roman"/>
        </w:rPr>
        <w:t xml:space="preserve">при реальной интерпретации необходим контроль за точностью приближённых расчётов с помощью программы </w:t>
      </w:r>
      <w:r>
        <w:rPr>
          <w:rFonts w:ascii="Times New Roman" w:hAnsi="Times New Roman"/>
          <w:lang w:val="en-US"/>
        </w:rPr>
        <w:t>Modem</w:t>
      </w:r>
      <w:r w:rsidRPr="00FD4F59">
        <w:rPr>
          <w:rFonts w:ascii="Times New Roman" w:hAnsi="Times New Roman"/>
        </w:rPr>
        <w:t>3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>.</w:t>
      </w:r>
    </w:p>
    <w:p w:rsidR="00374311" w:rsidRDefault="00374311" w:rsidP="003E6D3E">
      <w:pPr>
        <w:spacing w:after="0" w:line="240" w:lineRule="auto"/>
        <w:jc w:val="center"/>
        <w:rPr>
          <w:rFonts w:ascii="Times New Roman" w:hAnsi="Times New Roman"/>
        </w:rPr>
      </w:pPr>
    </w:p>
    <w:p w:rsidR="00374311" w:rsidRDefault="00C6760A" w:rsidP="00150334">
      <w:pPr>
        <w:keepNext/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901099" cy="2268000"/>
            <wp:effectExtent l="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099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311" w:rsidRDefault="00374311" w:rsidP="00452B6A">
      <w:pPr>
        <w:pStyle w:val="a4"/>
        <w:spacing w:after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452B6A">
        <w:rPr>
          <w:rFonts w:ascii="Times New Roman" w:hAnsi="Times New Roman"/>
          <w:b w:val="0"/>
          <w:color w:val="auto"/>
          <w:sz w:val="22"/>
          <w:szCs w:val="22"/>
        </w:rPr>
        <w:t xml:space="preserve">Рисунок </w:t>
      </w:r>
      <w:r>
        <w:rPr>
          <w:rFonts w:ascii="Times New Roman" w:hAnsi="Times New Roman"/>
          <w:b w:val="0"/>
          <w:color w:val="auto"/>
          <w:sz w:val="22"/>
          <w:szCs w:val="22"/>
        </w:rPr>
        <w:t>3</w:t>
      </w:r>
      <w:r w:rsidRPr="00452B6A">
        <w:rPr>
          <w:rFonts w:ascii="Times New Roman" w:hAnsi="Times New Roman"/>
          <w:b w:val="0"/>
          <w:noProof/>
          <w:color w:val="auto"/>
          <w:sz w:val="22"/>
          <w:szCs w:val="22"/>
        </w:rPr>
        <w:t xml:space="preserve"> </w:t>
      </w:r>
      <w:r w:rsidRPr="00452B6A">
        <w:rPr>
          <w:rFonts w:ascii="Times New Roman" w:hAnsi="Times New Roman"/>
          <w:b w:val="0"/>
          <w:color w:val="auto"/>
          <w:sz w:val="22"/>
          <w:szCs w:val="22"/>
        </w:rPr>
        <w:t>(а) Модель №</w:t>
      </w:r>
      <w:r>
        <w:rPr>
          <w:rFonts w:ascii="Times New Roman" w:hAnsi="Times New Roman"/>
          <w:b w:val="0"/>
          <w:color w:val="auto"/>
          <w:sz w:val="22"/>
          <w:szCs w:val="22"/>
        </w:rPr>
        <w:t>3</w:t>
      </w:r>
      <w:r w:rsidRPr="00452B6A">
        <w:rPr>
          <w:rFonts w:ascii="Times New Roman" w:hAnsi="Times New Roman"/>
          <w:b w:val="0"/>
          <w:color w:val="auto"/>
          <w:sz w:val="22"/>
          <w:szCs w:val="22"/>
        </w:rPr>
        <w:t xml:space="preserve"> и схема установки; (б) относительное отклонение сигналов рассчитанных в программах MAG3D и Modem3D для модели №</w:t>
      </w:r>
      <w:r>
        <w:rPr>
          <w:rFonts w:ascii="Times New Roman" w:hAnsi="Times New Roman"/>
          <w:b w:val="0"/>
          <w:color w:val="auto"/>
          <w:sz w:val="22"/>
          <w:szCs w:val="22"/>
        </w:rPr>
        <w:t>3</w:t>
      </w:r>
    </w:p>
    <w:p w:rsidR="00374311" w:rsidRPr="00EF3719" w:rsidRDefault="00374311" w:rsidP="00EF3719">
      <w:pPr>
        <w:spacing w:after="0" w:line="240" w:lineRule="auto"/>
        <w:jc w:val="center"/>
        <w:rPr>
          <w:rFonts w:ascii="Times New Roman" w:hAnsi="Times New Roman"/>
        </w:rPr>
      </w:pPr>
    </w:p>
    <w:p w:rsidR="00374311" w:rsidRDefault="00374311" w:rsidP="00A15F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Проведенные исследования позволяют сделать следующие выводы:</w:t>
      </w:r>
    </w:p>
    <w:p w:rsidR="00374311" w:rsidRPr="000B6966" w:rsidRDefault="00374311" w:rsidP="003E6D3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B6966">
        <w:rPr>
          <w:sz w:val="22"/>
          <w:szCs w:val="22"/>
        </w:rPr>
        <w:t>Разработан алгоритм и создана программа для линеаризованной прямой задачи ЗСБ</w:t>
      </w:r>
      <w:r>
        <w:rPr>
          <w:sz w:val="22"/>
          <w:szCs w:val="22"/>
        </w:rPr>
        <w:t xml:space="preserve"> на основе борновского приближения.</w:t>
      </w:r>
    </w:p>
    <w:p w:rsidR="00374311" w:rsidRDefault="00374311" w:rsidP="003E6D3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B6966">
        <w:rPr>
          <w:sz w:val="22"/>
          <w:szCs w:val="22"/>
        </w:rPr>
        <w:t>Программа MAG3D протестирована сравнением с расчётами</w:t>
      </w:r>
      <w:r>
        <w:rPr>
          <w:sz w:val="22"/>
          <w:szCs w:val="22"/>
        </w:rPr>
        <w:t xml:space="preserve"> по программе </w:t>
      </w:r>
      <w:r>
        <w:rPr>
          <w:sz w:val="22"/>
          <w:szCs w:val="22"/>
          <w:lang w:val="en-US"/>
        </w:rPr>
        <w:t>Modem</w:t>
      </w:r>
      <w:r w:rsidRPr="005D10A6">
        <w:rPr>
          <w:sz w:val="22"/>
          <w:szCs w:val="22"/>
        </w:rPr>
        <w:t>3</w:t>
      </w:r>
      <w:r>
        <w:rPr>
          <w:sz w:val="22"/>
          <w:szCs w:val="22"/>
          <w:lang w:val="en-US"/>
        </w:rPr>
        <w:t>D</w:t>
      </w:r>
      <w:r w:rsidRPr="000B6966">
        <w:rPr>
          <w:sz w:val="22"/>
          <w:szCs w:val="22"/>
        </w:rPr>
        <w:t>.</w:t>
      </w:r>
      <w:r>
        <w:rPr>
          <w:sz w:val="22"/>
          <w:szCs w:val="22"/>
        </w:rPr>
        <w:t xml:space="preserve"> Это позволило </w:t>
      </w:r>
      <w:r>
        <w:rPr>
          <w:color w:val="auto"/>
          <w:sz w:val="22"/>
          <w:szCs w:val="22"/>
        </w:rPr>
        <w:t xml:space="preserve">определить ограничения приближенной прямой задачи и является предпосылкой для использования программы </w:t>
      </w:r>
      <w:r>
        <w:rPr>
          <w:color w:val="auto"/>
          <w:sz w:val="22"/>
          <w:szCs w:val="22"/>
          <w:lang w:val="en-US"/>
        </w:rPr>
        <w:t>MAG</w:t>
      </w:r>
      <w:r w:rsidRPr="00CD7741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  <w:lang w:val="en-US"/>
        </w:rPr>
        <w:t>D</w:t>
      </w:r>
      <w:r>
        <w:rPr>
          <w:color w:val="auto"/>
          <w:sz w:val="22"/>
          <w:szCs w:val="22"/>
        </w:rPr>
        <w:t xml:space="preserve"> в томографической инверсии.</w:t>
      </w:r>
    </w:p>
    <w:p w:rsidR="00374311" w:rsidRPr="000B6966" w:rsidRDefault="00374311" w:rsidP="005275FB">
      <w:pPr>
        <w:pStyle w:val="Default"/>
        <w:jc w:val="center"/>
        <w:rPr>
          <w:sz w:val="22"/>
          <w:szCs w:val="22"/>
        </w:rPr>
      </w:pPr>
    </w:p>
    <w:p w:rsidR="00374311" w:rsidRDefault="00374311" w:rsidP="003E6D3E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63359">
        <w:rPr>
          <w:rFonts w:ascii="Times New Roman" w:hAnsi="Times New Roman"/>
          <w:bCs/>
        </w:rPr>
        <w:t>Работа выполнена при поддержке с</w:t>
      </w:r>
      <w:r w:rsidRPr="00B63359">
        <w:rPr>
          <w:rFonts w:ascii="Times New Roman" w:hAnsi="Times New Roman"/>
          <w:color w:val="000000"/>
        </w:rPr>
        <w:t>оглашения № 14.B37.21.0615 от 16.08.2012 по теме «Разработка и практическое применение эффективных программно-алгоритмических средств для моделирования нестационарных электромагнитных полей в трехмерных проводящих и поляризующихся геологических средах</w:t>
      </w:r>
      <w:r>
        <w:rPr>
          <w:rFonts w:ascii="Times New Roman" w:hAnsi="Times New Roman"/>
          <w:color w:val="000000"/>
        </w:rPr>
        <w:t>»</w:t>
      </w:r>
      <w:r w:rsidRPr="00B63359">
        <w:rPr>
          <w:rFonts w:ascii="Times New Roman" w:hAnsi="Times New Roman"/>
          <w:bCs/>
        </w:rPr>
        <w:t>.</w:t>
      </w:r>
    </w:p>
    <w:p w:rsidR="00374311" w:rsidRPr="00BD3905" w:rsidRDefault="00374311" w:rsidP="00B50F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>Авторы</w:t>
      </w:r>
      <w:r w:rsidRPr="00BD3905">
        <w:rPr>
          <w:rFonts w:ascii="Times New Roman" w:hAnsi="Times New Roman"/>
          <w:bCs/>
        </w:rPr>
        <w:t xml:space="preserve"> благодар</w:t>
      </w:r>
      <w:r>
        <w:rPr>
          <w:rFonts w:ascii="Times New Roman" w:hAnsi="Times New Roman"/>
          <w:bCs/>
        </w:rPr>
        <w:t>ят</w:t>
      </w:r>
      <w:r w:rsidRPr="00BD3905">
        <w:rPr>
          <w:rFonts w:ascii="Times New Roman" w:hAnsi="Times New Roman"/>
          <w:bCs/>
        </w:rPr>
        <w:t xml:space="preserve"> </w:t>
      </w:r>
      <w:r w:rsidRPr="00BD3905">
        <w:rPr>
          <w:rFonts w:ascii="Times New Roman" w:hAnsi="Times New Roman"/>
          <w:lang w:eastAsia="ru-RU"/>
        </w:rPr>
        <w:t>И.А</w:t>
      </w:r>
      <w:r>
        <w:rPr>
          <w:rFonts w:ascii="Times New Roman" w:hAnsi="Times New Roman"/>
          <w:lang w:eastAsia="ru-RU"/>
        </w:rPr>
        <w:t>. Кремера</w:t>
      </w:r>
      <w:r w:rsidRPr="00BD3905">
        <w:rPr>
          <w:rFonts w:ascii="Times New Roman" w:hAnsi="Times New Roman"/>
          <w:lang w:eastAsia="ru-RU"/>
        </w:rPr>
        <w:t xml:space="preserve"> и М.И.</w:t>
      </w:r>
      <w:r>
        <w:rPr>
          <w:rFonts w:ascii="Times New Roman" w:hAnsi="Times New Roman"/>
          <w:lang w:eastAsia="ru-RU"/>
        </w:rPr>
        <w:t> </w:t>
      </w:r>
      <w:r w:rsidRPr="00BD3905">
        <w:rPr>
          <w:rFonts w:ascii="Times New Roman" w:hAnsi="Times New Roman"/>
          <w:lang w:eastAsia="ru-RU"/>
        </w:rPr>
        <w:t>Иванов</w:t>
      </w:r>
      <w:r>
        <w:rPr>
          <w:rFonts w:ascii="Times New Roman" w:hAnsi="Times New Roman"/>
          <w:lang w:eastAsia="ru-RU"/>
        </w:rPr>
        <w:t>а</w:t>
      </w:r>
      <w:r w:rsidRPr="00BD3905">
        <w:rPr>
          <w:rFonts w:ascii="Times New Roman" w:hAnsi="Times New Roman"/>
          <w:bCs/>
        </w:rPr>
        <w:t xml:space="preserve"> за </w:t>
      </w:r>
      <w:r>
        <w:rPr>
          <w:rFonts w:ascii="Times New Roman" w:hAnsi="Times New Roman"/>
          <w:bCs/>
        </w:rPr>
        <w:t>предоставленную возможность использовать</w:t>
      </w:r>
      <w:r w:rsidRPr="00BD3905">
        <w:rPr>
          <w:rFonts w:ascii="Times New Roman" w:hAnsi="Times New Roman"/>
          <w:bCs/>
        </w:rPr>
        <w:t xml:space="preserve"> программу </w:t>
      </w:r>
      <w:r>
        <w:rPr>
          <w:rFonts w:ascii="Times New Roman" w:hAnsi="Times New Roman"/>
          <w:bCs/>
          <w:lang w:val="en-US"/>
        </w:rPr>
        <w:t>Modem</w:t>
      </w:r>
      <w:r w:rsidRPr="00302C02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  <w:lang w:val="en-US"/>
        </w:rPr>
        <w:t>D</w:t>
      </w:r>
      <w:r w:rsidRPr="00302C02">
        <w:rPr>
          <w:rFonts w:ascii="Times New Roman" w:hAnsi="Times New Roman"/>
          <w:bCs/>
        </w:rPr>
        <w:t xml:space="preserve"> </w:t>
      </w:r>
      <w:r w:rsidRPr="00BD3905">
        <w:rPr>
          <w:rFonts w:ascii="Times New Roman" w:hAnsi="Times New Roman"/>
          <w:bCs/>
        </w:rPr>
        <w:t>для научных расчётов.</w:t>
      </w:r>
    </w:p>
    <w:p w:rsidR="00374311" w:rsidRPr="00786E67" w:rsidRDefault="00374311" w:rsidP="005275FB">
      <w:pPr>
        <w:pStyle w:val="Default"/>
        <w:rPr>
          <w:sz w:val="22"/>
          <w:szCs w:val="22"/>
        </w:rPr>
      </w:pPr>
    </w:p>
    <w:p w:rsidR="00374311" w:rsidRDefault="00374311" w:rsidP="00150334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0334">
        <w:rPr>
          <w:rFonts w:ascii="Times New Roman" w:hAnsi="Times New Roman"/>
        </w:rPr>
        <w:t>Могилатов В.С. Импульсная электроразведка. Учеб. пособие / Новосиб. гос. ун-т. Новосибирск: 2002. - 208 с.</w:t>
      </w:r>
    </w:p>
    <w:p w:rsidR="00374311" w:rsidRPr="005C38C1" w:rsidRDefault="00374311" w:rsidP="005C38C1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F1DF7">
        <w:rPr>
          <w:rFonts w:ascii="Times New Roman" w:hAnsi="Times New Roman"/>
        </w:rPr>
        <w:t>Шеин А.Н. Программа Modem3D для расчета нестационарных электромагнитных полей в сложных трехмерных средах / А.Н. Шеин, Е.Ю. Антонов, Н.О. Кожевников, И.А. Кремер, М.И. Иванов // Сборник материалов второй международной конференции «Актуальные проблемы электромагнитных зондирующих систем», 1-4 октября 2012 г., Институт геофизики им. С.И. Субботина НАН Украины, Киев, Украина. – С. 104.</w:t>
      </w:r>
    </w:p>
    <w:sectPr w:rsidR="00374311" w:rsidRPr="005C38C1" w:rsidSect="00C148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BA8"/>
    <w:multiLevelType w:val="hybridMultilevel"/>
    <w:tmpl w:val="9EC6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F5CF6"/>
    <w:multiLevelType w:val="hybridMultilevel"/>
    <w:tmpl w:val="704A3FE4"/>
    <w:lvl w:ilvl="0" w:tplc="29E8261C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50"/>
    <w:rsid w:val="00006C2E"/>
    <w:rsid w:val="00006E9A"/>
    <w:rsid w:val="000107A7"/>
    <w:rsid w:val="0003075B"/>
    <w:rsid w:val="00076318"/>
    <w:rsid w:val="000A27E9"/>
    <w:rsid w:val="000A6292"/>
    <w:rsid w:val="000B6966"/>
    <w:rsid w:val="000C509B"/>
    <w:rsid w:val="000D06F0"/>
    <w:rsid w:val="000E037C"/>
    <w:rsid w:val="000F2B5B"/>
    <w:rsid w:val="000F45F5"/>
    <w:rsid w:val="00105753"/>
    <w:rsid w:val="0010642C"/>
    <w:rsid w:val="0012048A"/>
    <w:rsid w:val="0013013C"/>
    <w:rsid w:val="00140292"/>
    <w:rsid w:val="00145B7A"/>
    <w:rsid w:val="00150334"/>
    <w:rsid w:val="00151A39"/>
    <w:rsid w:val="00152E46"/>
    <w:rsid w:val="00153F42"/>
    <w:rsid w:val="001743AE"/>
    <w:rsid w:val="001801BA"/>
    <w:rsid w:val="001937C8"/>
    <w:rsid w:val="00194850"/>
    <w:rsid w:val="001A1265"/>
    <w:rsid w:val="001C1253"/>
    <w:rsid w:val="001C470D"/>
    <w:rsid w:val="001D0491"/>
    <w:rsid w:val="001E6C7E"/>
    <w:rsid w:val="00200996"/>
    <w:rsid w:val="00200A57"/>
    <w:rsid w:val="00223DD4"/>
    <w:rsid w:val="002569A1"/>
    <w:rsid w:val="00272ED4"/>
    <w:rsid w:val="00277DB9"/>
    <w:rsid w:val="00297E96"/>
    <w:rsid w:val="002B7D40"/>
    <w:rsid w:val="002D0F8D"/>
    <w:rsid w:val="002D74CD"/>
    <w:rsid w:val="002F2BC0"/>
    <w:rsid w:val="00302C02"/>
    <w:rsid w:val="003065D2"/>
    <w:rsid w:val="00324D4A"/>
    <w:rsid w:val="00326DD2"/>
    <w:rsid w:val="00341F72"/>
    <w:rsid w:val="003510D6"/>
    <w:rsid w:val="00356773"/>
    <w:rsid w:val="00374311"/>
    <w:rsid w:val="003A5F99"/>
    <w:rsid w:val="003B6D10"/>
    <w:rsid w:val="003C4DE6"/>
    <w:rsid w:val="003D05F0"/>
    <w:rsid w:val="003E6D3E"/>
    <w:rsid w:val="00412A35"/>
    <w:rsid w:val="00425BED"/>
    <w:rsid w:val="004324F5"/>
    <w:rsid w:val="004449A2"/>
    <w:rsid w:val="00444A6E"/>
    <w:rsid w:val="00452B6A"/>
    <w:rsid w:val="00486AE0"/>
    <w:rsid w:val="00496E18"/>
    <w:rsid w:val="004A2C49"/>
    <w:rsid w:val="004A711B"/>
    <w:rsid w:val="004B02AC"/>
    <w:rsid w:val="004F6870"/>
    <w:rsid w:val="004F6D63"/>
    <w:rsid w:val="005275FB"/>
    <w:rsid w:val="00554BA6"/>
    <w:rsid w:val="00555C62"/>
    <w:rsid w:val="0056239C"/>
    <w:rsid w:val="00576C0D"/>
    <w:rsid w:val="005772DE"/>
    <w:rsid w:val="005927B0"/>
    <w:rsid w:val="005C38C1"/>
    <w:rsid w:val="005D10A6"/>
    <w:rsid w:val="005D7651"/>
    <w:rsid w:val="005F5752"/>
    <w:rsid w:val="00606EC9"/>
    <w:rsid w:val="00613BBB"/>
    <w:rsid w:val="006501E9"/>
    <w:rsid w:val="00657E91"/>
    <w:rsid w:val="00677BE0"/>
    <w:rsid w:val="0069510D"/>
    <w:rsid w:val="006A6077"/>
    <w:rsid w:val="006C0139"/>
    <w:rsid w:val="007064F8"/>
    <w:rsid w:val="00721D2D"/>
    <w:rsid w:val="007339B9"/>
    <w:rsid w:val="00740B78"/>
    <w:rsid w:val="00744B2F"/>
    <w:rsid w:val="00747C6E"/>
    <w:rsid w:val="0075633E"/>
    <w:rsid w:val="0076417B"/>
    <w:rsid w:val="00786E67"/>
    <w:rsid w:val="00792F7B"/>
    <w:rsid w:val="007A0034"/>
    <w:rsid w:val="007B39B3"/>
    <w:rsid w:val="007B3DF5"/>
    <w:rsid w:val="007E509E"/>
    <w:rsid w:val="007E758B"/>
    <w:rsid w:val="007F047D"/>
    <w:rsid w:val="008236E0"/>
    <w:rsid w:val="0083228B"/>
    <w:rsid w:val="00834675"/>
    <w:rsid w:val="0086326D"/>
    <w:rsid w:val="00874435"/>
    <w:rsid w:val="008751EF"/>
    <w:rsid w:val="008855FF"/>
    <w:rsid w:val="00894254"/>
    <w:rsid w:val="008A75B3"/>
    <w:rsid w:val="008B26C9"/>
    <w:rsid w:val="008B4CCC"/>
    <w:rsid w:val="008C0FA4"/>
    <w:rsid w:val="008D4CFC"/>
    <w:rsid w:val="008D5D6B"/>
    <w:rsid w:val="008E6DC8"/>
    <w:rsid w:val="0091117F"/>
    <w:rsid w:val="00922A09"/>
    <w:rsid w:val="0092338E"/>
    <w:rsid w:val="009530D7"/>
    <w:rsid w:val="0096111B"/>
    <w:rsid w:val="009678DB"/>
    <w:rsid w:val="009738E3"/>
    <w:rsid w:val="00984D38"/>
    <w:rsid w:val="00996BAC"/>
    <w:rsid w:val="009A1555"/>
    <w:rsid w:val="009C30FE"/>
    <w:rsid w:val="00A14937"/>
    <w:rsid w:val="00A15FE3"/>
    <w:rsid w:val="00A16C95"/>
    <w:rsid w:val="00A360F2"/>
    <w:rsid w:val="00A43DDC"/>
    <w:rsid w:val="00A447BD"/>
    <w:rsid w:val="00A53819"/>
    <w:rsid w:val="00AC5464"/>
    <w:rsid w:val="00AD674A"/>
    <w:rsid w:val="00AE07C9"/>
    <w:rsid w:val="00AF6CDA"/>
    <w:rsid w:val="00B039AC"/>
    <w:rsid w:val="00B06725"/>
    <w:rsid w:val="00B20359"/>
    <w:rsid w:val="00B20A7F"/>
    <w:rsid w:val="00B213E6"/>
    <w:rsid w:val="00B30B94"/>
    <w:rsid w:val="00B35421"/>
    <w:rsid w:val="00B35664"/>
    <w:rsid w:val="00B3620F"/>
    <w:rsid w:val="00B47B6E"/>
    <w:rsid w:val="00B50518"/>
    <w:rsid w:val="00B50FED"/>
    <w:rsid w:val="00B63359"/>
    <w:rsid w:val="00B64959"/>
    <w:rsid w:val="00B66ACD"/>
    <w:rsid w:val="00BC791A"/>
    <w:rsid w:val="00BC7CFF"/>
    <w:rsid w:val="00BC7F3B"/>
    <w:rsid w:val="00BD3905"/>
    <w:rsid w:val="00BE193B"/>
    <w:rsid w:val="00BE3B26"/>
    <w:rsid w:val="00BE473C"/>
    <w:rsid w:val="00BE49D2"/>
    <w:rsid w:val="00C148E9"/>
    <w:rsid w:val="00C203D4"/>
    <w:rsid w:val="00C21E5E"/>
    <w:rsid w:val="00C3436A"/>
    <w:rsid w:val="00C367C0"/>
    <w:rsid w:val="00C6760A"/>
    <w:rsid w:val="00C7346F"/>
    <w:rsid w:val="00C76ECC"/>
    <w:rsid w:val="00C901EA"/>
    <w:rsid w:val="00C93B03"/>
    <w:rsid w:val="00CA2F1B"/>
    <w:rsid w:val="00CA7AC4"/>
    <w:rsid w:val="00CC041B"/>
    <w:rsid w:val="00CC0A2D"/>
    <w:rsid w:val="00CC4BAC"/>
    <w:rsid w:val="00CC7034"/>
    <w:rsid w:val="00CD0EFD"/>
    <w:rsid w:val="00CD7741"/>
    <w:rsid w:val="00CE5F78"/>
    <w:rsid w:val="00CE73FB"/>
    <w:rsid w:val="00CF3797"/>
    <w:rsid w:val="00D04116"/>
    <w:rsid w:val="00D26B8A"/>
    <w:rsid w:val="00D64C39"/>
    <w:rsid w:val="00D768E1"/>
    <w:rsid w:val="00DA255E"/>
    <w:rsid w:val="00DC630F"/>
    <w:rsid w:val="00DE2222"/>
    <w:rsid w:val="00E01C55"/>
    <w:rsid w:val="00E07987"/>
    <w:rsid w:val="00E21457"/>
    <w:rsid w:val="00E23B5B"/>
    <w:rsid w:val="00E357CB"/>
    <w:rsid w:val="00E65300"/>
    <w:rsid w:val="00E65AEF"/>
    <w:rsid w:val="00E83DDA"/>
    <w:rsid w:val="00E9284C"/>
    <w:rsid w:val="00E95B2A"/>
    <w:rsid w:val="00EB49BD"/>
    <w:rsid w:val="00EC661A"/>
    <w:rsid w:val="00EC79A7"/>
    <w:rsid w:val="00ED1FC8"/>
    <w:rsid w:val="00ED6F59"/>
    <w:rsid w:val="00EF2DDF"/>
    <w:rsid w:val="00EF3719"/>
    <w:rsid w:val="00F13A9F"/>
    <w:rsid w:val="00F32209"/>
    <w:rsid w:val="00F654EF"/>
    <w:rsid w:val="00F84E5F"/>
    <w:rsid w:val="00F91FEC"/>
    <w:rsid w:val="00F97E49"/>
    <w:rsid w:val="00FA2E4F"/>
    <w:rsid w:val="00FA6A64"/>
    <w:rsid w:val="00FD4F59"/>
    <w:rsid w:val="00FF1DF7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A2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449A2"/>
    <w:pPr>
      <w:keepNext/>
      <w:spacing w:before="240" w:after="60" w:line="240" w:lineRule="auto"/>
      <w:ind w:left="284" w:firstLine="567"/>
      <w:jc w:val="both"/>
      <w:outlineLvl w:val="2"/>
    </w:pPr>
    <w:rPr>
      <w:rFonts w:ascii="Cambria" w:hAnsi="Cambri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449A2"/>
    <w:rPr>
      <w:rFonts w:ascii="Cambria" w:hAnsi="Cambria"/>
      <w:b/>
      <w:sz w:val="26"/>
    </w:rPr>
  </w:style>
  <w:style w:type="paragraph" w:customStyle="1" w:styleId="Default">
    <w:name w:val="Default"/>
    <w:uiPriority w:val="99"/>
    <w:rsid w:val="00CA7A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8744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74435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87443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435"/>
    <w:rPr>
      <w:rFonts w:ascii="Tahoma" w:hAnsi="Tahoma"/>
      <w:sz w:val="16"/>
    </w:rPr>
  </w:style>
  <w:style w:type="paragraph" w:styleId="a7">
    <w:name w:val="List Paragraph"/>
    <w:basedOn w:val="a"/>
    <w:uiPriority w:val="99"/>
    <w:qFormat/>
    <w:rsid w:val="00150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A2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449A2"/>
    <w:pPr>
      <w:keepNext/>
      <w:spacing w:before="240" w:after="60" w:line="240" w:lineRule="auto"/>
      <w:ind w:left="284" w:firstLine="567"/>
      <w:jc w:val="both"/>
      <w:outlineLvl w:val="2"/>
    </w:pPr>
    <w:rPr>
      <w:rFonts w:ascii="Cambria" w:hAnsi="Cambri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449A2"/>
    <w:rPr>
      <w:rFonts w:ascii="Cambria" w:hAnsi="Cambria"/>
      <w:b/>
      <w:sz w:val="26"/>
    </w:rPr>
  </w:style>
  <w:style w:type="paragraph" w:customStyle="1" w:styleId="Default">
    <w:name w:val="Default"/>
    <w:uiPriority w:val="99"/>
    <w:rsid w:val="00CA7A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8744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74435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87443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435"/>
    <w:rPr>
      <w:rFonts w:ascii="Tahoma" w:hAnsi="Tahoma"/>
      <w:sz w:val="16"/>
    </w:rPr>
  </w:style>
  <w:style w:type="paragraph" w:styleId="a7">
    <w:name w:val="List Paragraph"/>
    <w:basedOn w:val="a"/>
    <w:uiPriority w:val="99"/>
    <w:qFormat/>
    <w:rsid w:val="0015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IPGG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Шеин Александр Николаевич</dc:creator>
  <cp:lastModifiedBy>Шеин Александр Николаевич</cp:lastModifiedBy>
  <cp:revision>3</cp:revision>
  <cp:lastPrinted>2013-06-26T11:17:00Z</cp:lastPrinted>
  <dcterms:created xsi:type="dcterms:W3CDTF">2013-07-12T03:14:00Z</dcterms:created>
  <dcterms:modified xsi:type="dcterms:W3CDTF">2013-07-12T05:29:00Z</dcterms:modified>
</cp:coreProperties>
</file>